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75A" w:rsidRPr="0039775A" w:rsidRDefault="0039775A" w:rsidP="0039775A">
      <w:pPr>
        <w:pStyle w:val="Beschriftung"/>
        <w:spacing w:line="259" w:lineRule="auto"/>
        <w:jc w:val="both"/>
        <w:rPr>
          <w:b/>
          <w:i w:val="0"/>
          <w:color w:val="auto"/>
          <w:sz w:val="24"/>
          <w:szCs w:val="24"/>
        </w:rPr>
      </w:pPr>
      <w:r w:rsidRPr="0039775A">
        <w:rPr>
          <w:b/>
          <w:i w:val="0"/>
          <w:color w:val="auto"/>
          <w:sz w:val="24"/>
          <w:szCs w:val="24"/>
        </w:rPr>
        <w:t xml:space="preserve">Gruppe 3 – Die </w:t>
      </w:r>
      <w:r w:rsidR="001D5D2A">
        <w:rPr>
          <w:b/>
          <w:i w:val="0"/>
          <w:color w:val="auto"/>
          <w:sz w:val="24"/>
          <w:szCs w:val="24"/>
        </w:rPr>
        <w:t>Emissionen</w:t>
      </w:r>
      <w:r w:rsidRPr="0039775A">
        <w:rPr>
          <w:b/>
          <w:i w:val="0"/>
          <w:color w:val="auto"/>
          <w:sz w:val="24"/>
          <w:szCs w:val="24"/>
        </w:rPr>
        <w:t xml:space="preserve"> der Batterie</w:t>
      </w:r>
    </w:p>
    <w:p w:rsidR="007F22B6" w:rsidRPr="007F22B6" w:rsidRDefault="0039775A" w:rsidP="0039775A">
      <w:pPr>
        <w:pStyle w:val="Beschriftung"/>
        <w:spacing w:line="259" w:lineRule="auto"/>
        <w:jc w:val="both"/>
        <w:rPr>
          <w:i w:val="0"/>
          <w:color w:val="auto"/>
          <w:sz w:val="23"/>
          <w:szCs w:val="23"/>
        </w:rPr>
      </w:pPr>
      <w:r w:rsidRPr="007F22B6">
        <w:rPr>
          <w:i w:val="0"/>
          <w:color w:val="auto"/>
          <w:sz w:val="23"/>
          <w:szCs w:val="23"/>
        </w:rPr>
        <w:t xml:space="preserve">Für die Ermittlung der Treibhausgasemissionen bei der Batterieproduktion besteht </w:t>
      </w:r>
      <w:r w:rsidR="00763C90">
        <w:rPr>
          <w:i w:val="0"/>
          <w:color w:val="auto"/>
          <w:sz w:val="23"/>
          <w:szCs w:val="23"/>
        </w:rPr>
        <w:t>das Problem</w:t>
      </w:r>
      <w:r w:rsidRPr="007F22B6">
        <w:rPr>
          <w:i w:val="0"/>
          <w:color w:val="auto"/>
          <w:sz w:val="23"/>
          <w:szCs w:val="23"/>
        </w:rPr>
        <w:t>, dass diese von vielen Herstellern als Betriebsgeheimnis behandelt werden. Dennoch gibt e</w:t>
      </w:r>
      <w:r w:rsidR="001D5D2A" w:rsidRPr="007F22B6">
        <w:rPr>
          <w:i w:val="0"/>
          <w:color w:val="auto"/>
          <w:sz w:val="23"/>
          <w:szCs w:val="23"/>
        </w:rPr>
        <w:t xml:space="preserve">s </w:t>
      </w:r>
      <w:r w:rsidR="00763C90">
        <w:rPr>
          <w:i w:val="0"/>
          <w:color w:val="auto"/>
          <w:sz w:val="23"/>
          <w:szCs w:val="23"/>
        </w:rPr>
        <w:t>einige</w:t>
      </w:r>
      <w:r w:rsidR="001D5D2A" w:rsidRPr="007F22B6">
        <w:rPr>
          <w:i w:val="0"/>
          <w:color w:val="auto"/>
          <w:sz w:val="23"/>
          <w:szCs w:val="23"/>
        </w:rPr>
        <w:t xml:space="preserve"> Studien, die </w:t>
      </w:r>
      <w:r w:rsidR="00763C90">
        <w:rPr>
          <w:i w:val="0"/>
          <w:color w:val="auto"/>
          <w:sz w:val="23"/>
          <w:szCs w:val="23"/>
        </w:rPr>
        <w:t xml:space="preserve">diese auf Basis eigener Untersuchungen angeben </w:t>
      </w:r>
      <w:r w:rsidR="00164780" w:rsidRPr="007F22B6">
        <w:rPr>
          <w:i w:val="0"/>
          <w:color w:val="auto"/>
          <w:sz w:val="23"/>
          <w:szCs w:val="23"/>
        </w:rPr>
        <w:t>(vgl. Tabelle 2)</w:t>
      </w:r>
      <w:r w:rsidR="004E5A2F" w:rsidRPr="007F22B6">
        <w:rPr>
          <w:i w:val="0"/>
          <w:color w:val="auto"/>
          <w:sz w:val="23"/>
          <w:szCs w:val="23"/>
        </w:rPr>
        <w:t xml:space="preserve">. </w:t>
      </w:r>
      <w:r w:rsidRPr="007F22B6">
        <w:rPr>
          <w:i w:val="0"/>
          <w:color w:val="auto"/>
          <w:sz w:val="23"/>
          <w:szCs w:val="23"/>
        </w:rPr>
        <w:t xml:space="preserve">Die Studie des ifo Instituts greift auf eine erste </w:t>
      </w:r>
      <w:r w:rsidR="00763C90">
        <w:rPr>
          <w:i w:val="0"/>
          <w:color w:val="auto"/>
          <w:sz w:val="23"/>
          <w:szCs w:val="23"/>
        </w:rPr>
        <w:t>veröffentlichte</w:t>
      </w:r>
      <w:r w:rsidRPr="007F22B6">
        <w:rPr>
          <w:i w:val="0"/>
          <w:color w:val="auto"/>
          <w:sz w:val="23"/>
          <w:szCs w:val="23"/>
        </w:rPr>
        <w:t xml:space="preserve"> Metastudie von 2017 zurück, also eine Studie, die bisherige Ergebnisse vieler anderer Studien vergleicht und einordnet. Diese bietet einerseits einen deutlich besseren Überblick</w:t>
      </w:r>
      <w:r w:rsidR="00763C90">
        <w:rPr>
          <w:i w:val="0"/>
          <w:color w:val="auto"/>
          <w:sz w:val="23"/>
          <w:szCs w:val="23"/>
        </w:rPr>
        <w:t>,</w:t>
      </w:r>
      <w:r w:rsidRPr="007F22B6">
        <w:rPr>
          <w:i w:val="0"/>
          <w:color w:val="auto"/>
          <w:sz w:val="23"/>
          <w:szCs w:val="23"/>
        </w:rPr>
        <w:t xml:space="preserve"> als es einzelne Studien </w:t>
      </w:r>
      <w:r w:rsidR="00763C90">
        <w:rPr>
          <w:i w:val="0"/>
          <w:color w:val="auto"/>
          <w:sz w:val="23"/>
          <w:szCs w:val="23"/>
        </w:rPr>
        <w:t xml:space="preserve">ermöglichen </w:t>
      </w:r>
      <w:r w:rsidRPr="007F22B6">
        <w:rPr>
          <w:i w:val="0"/>
          <w:color w:val="auto"/>
          <w:sz w:val="23"/>
          <w:szCs w:val="23"/>
        </w:rPr>
        <w:t xml:space="preserve">und gibt dabei eine Spannweite an, in der die </w:t>
      </w:r>
      <w:r w:rsidR="001D5D2A" w:rsidRPr="007F22B6">
        <w:rPr>
          <w:i w:val="0"/>
          <w:color w:val="auto"/>
          <w:sz w:val="23"/>
          <w:szCs w:val="23"/>
        </w:rPr>
        <w:t>Emissionen während der Batterie</w:t>
      </w:r>
      <w:r w:rsidRPr="007F22B6">
        <w:rPr>
          <w:i w:val="0"/>
          <w:color w:val="auto"/>
          <w:sz w:val="23"/>
          <w:szCs w:val="23"/>
        </w:rPr>
        <w:t>produktion üblicherweise liegen. Wie hoch die</w:t>
      </w:r>
      <w:r w:rsidR="00763C90">
        <w:rPr>
          <w:i w:val="0"/>
          <w:color w:val="auto"/>
          <w:sz w:val="23"/>
          <w:szCs w:val="23"/>
        </w:rPr>
        <w:t xml:space="preserve"> genauen Emissionen sind, hängt vor allem </w:t>
      </w:r>
      <w:r w:rsidRPr="007F22B6">
        <w:rPr>
          <w:i w:val="0"/>
          <w:color w:val="auto"/>
          <w:sz w:val="23"/>
          <w:szCs w:val="23"/>
        </w:rPr>
        <w:t>von der Herkunft des verwendeten Materials und des</w:t>
      </w:r>
      <w:r w:rsidR="004E5A2F" w:rsidRPr="007F22B6">
        <w:rPr>
          <w:i w:val="0"/>
          <w:color w:val="auto"/>
          <w:sz w:val="23"/>
          <w:szCs w:val="23"/>
        </w:rPr>
        <w:t xml:space="preserve"> Stroms für die Produktion ab. </w:t>
      </w:r>
      <w:r w:rsidRPr="007F22B6">
        <w:rPr>
          <w:i w:val="0"/>
          <w:color w:val="auto"/>
          <w:sz w:val="23"/>
          <w:szCs w:val="23"/>
        </w:rPr>
        <w:t xml:space="preserve">Allerdings wurden für die Metastudie hauptsächlich Untersuchungen herangezogen, bei denen Autobatterien noch in geringer Stückzahl produziert wurden. </w:t>
      </w:r>
      <w:r w:rsidR="00763C90">
        <w:rPr>
          <w:i w:val="0"/>
          <w:color w:val="auto"/>
          <w:sz w:val="23"/>
          <w:szCs w:val="23"/>
        </w:rPr>
        <w:t>Daher</w:t>
      </w:r>
      <w:r w:rsidRPr="007F22B6">
        <w:rPr>
          <w:i w:val="0"/>
          <w:color w:val="auto"/>
          <w:sz w:val="23"/>
          <w:szCs w:val="23"/>
        </w:rPr>
        <w:t xml:space="preserve"> kritisieren einige später veröffentlichte Studien die ermittelten Werte als deutlich zu hoch</w:t>
      </w:r>
      <w:r w:rsidR="00763C90">
        <w:rPr>
          <w:i w:val="0"/>
          <w:color w:val="auto"/>
          <w:sz w:val="23"/>
          <w:szCs w:val="23"/>
        </w:rPr>
        <w:t>, da die Emissionen im Schnitt bei größeren Produktionen sinken würden</w:t>
      </w:r>
      <w:r w:rsidRPr="007F22B6">
        <w:rPr>
          <w:i w:val="0"/>
          <w:color w:val="auto"/>
          <w:sz w:val="23"/>
          <w:szCs w:val="23"/>
        </w:rPr>
        <w:t xml:space="preserve">. </w:t>
      </w:r>
    </w:p>
    <w:p w:rsidR="000757EA" w:rsidRPr="007F22B6" w:rsidRDefault="0039775A" w:rsidP="0039775A">
      <w:pPr>
        <w:pStyle w:val="Beschriftung"/>
        <w:spacing w:line="259" w:lineRule="auto"/>
        <w:jc w:val="both"/>
        <w:rPr>
          <w:i w:val="0"/>
          <w:color w:val="auto"/>
          <w:sz w:val="23"/>
          <w:szCs w:val="23"/>
        </w:rPr>
      </w:pPr>
      <w:r w:rsidRPr="007F22B6">
        <w:rPr>
          <w:i w:val="0"/>
          <w:color w:val="auto"/>
          <w:sz w:val="23"/>
          <w:szCs w:val="23"/>
        </w:rPr>
        <w:t xml:space="preserve">Das ifo Institut folgt diesem Argument nicht. Dies könnte damit begründet werden, dass </w:t>
      </w:r>
      <w:r w:rsidR="001D5D2A" w:rsidRPr="007F22B6">
        <w:rPr>
          <w:i w:val="0"/>
          <w:color w:val="auto"/>
          <w:sz w:val="23"/>
          <w:szCs w:val="23"/>
        </w:rPr>
        <w:t xml:space="preserve">die Massenproduktion von </w:t>
      </w:r>
      <w:r w:rsidRPr="007F22B6">
        <w:rPr>
          <w:i w:val="0"/>
          <w:color w:val="auto"/>
          <w:sz w:val="23"/>
          <w:szCs w:val="23"/>
        </w:rPr>
        <w:t xml:space="preserve">Elektroautos noch </w:t>
      </w:r>
      <w:r w:rsidR="001D5D2A" w:rsidRPr="007F22B6">
        <w:rPr>
          <w:i w:val="0"/>
          <w:color w:val="auto"/>
          <w:sz w:val="23"/>
          <w:szCs w:val="23"/>
        </w:rPr>
        <w:t>am Anfang steht und daher im Vergleich zu Diesel- und Benzinfahrzeugen</w:t>
      </w:r>
      <w:r w:rsidRPr="007F22B6">
        <w:rPr>
          <w:i w:val="0"/>
          <w:color w:val="auto"/>
          <w:sz w:val="23"/>
          <w:szCs w:val="23"/>
        </w:rPr>
        <w:t xml:space="preserve"> von </w:t>
      </w:r>
      <w:r w:rsidR="001D5D2A" w:rsidRPr="007F22B6">
        <w:rPr>
          <w:i w:val="0"/>
          <w:color w:val="auto"/>
          <w:sz w:val="23"/>
          <w:szCs w:val="23"/>
        </w:rPr>
        <w:t xml:space="preserve">höheren </w:t>
      </w:r>
      <w:r w:rsidRPr="007F22B6">
        <w:rPr>
          <w:i w:val="0"/>
          <w:color w:val="auto"/>
          <w:sz w:val="23"/>
          <w:szCs w:val="23"/>
        </w:rPr>
        <w:t>Produktions</w:t>
      </w:r>
      <w:r w:rsidR="007F22B6" w:rsidRPr="007F22B6">
        <w:rPr>
          <w:i w:val="0"/>
          <w:color w:val="auto"/>
          <w:sz w:val="23"/>
          <w:szCs w:val="23"/>
        </w:rPr>
        <w:t>aufwand</w:t>
      </w:r>
      <w:r w:rsidR="004E5A2F" w:rsidRPr="007F22B6">
        <w:rPr>
          <w:i w:val="0"/>
          <w:color w:val="auto"/>
          <w:sz w:val="23"/>
          <w:szCs w:val="23"/>
        </w:rPr>
        <w:t xml:space="preserve"> ausgegangen werden </w:t>
      </w:r>
      <w:r w:rsidR="001D5D2A" w:rsidRPr="007F22B6">
        <w:rPr>
          <w:i w:val="0"/>
          <w:color w:val="auto"/>
          <w:sz w:val="23"/>
          <w:szCs w:val="23"/>
        </w:rPr>
        <w:t>muss</w:t>
      </w:r>
      <w:r w:rsidR="004E5A2F" w:rsidRPr="007F22B6">
        <w:rPr>
          <w:i w:val="0"/>
          <w:color w:val="auto"/>
          <w:sz w:val="23"/>
          <w:szCs w:val="23"/>
        </w:rPr>
        <w:t>.</w:t>
      </w:r>
      <w:r w:rsidR="003E535D" w:rsidRPr="007F22B6">
        <w:rPr>
          <w:i w:val="0"/>
          <w:color w:val="auto"/>
          <w:sz w:val="23"/>
          <w:szCs w:val="23"/>
        </w:rPr>
        <w:t xml:space="preserve"> </w:t>
      </w:r>
      <w:r w:rsidRPr="007F22B6">
        <w:rPr>
          <w:i w:val="0"/>
          <w:color w:val="auto"/>
          <w:sz w:val="23"/>
          <w:szCs w:val="23"/>
        </w:rPr>
        <w:t>Die TU Eindhoven konnten dagegen auf eine aktualisierte Version derselben Metastudie von 2019 zurückgreifen, die zum Zeitpunkt der Studie des ifo Instituts noch nicht veröffentlicht war. In dieser zeigt sich, was bereits vorab in einigen anderen Studien vermutet wurde. Die Treibhausgasemissionen bei der Batterieproduktion liegen deutlich niedriger als zuvor angenommen. Die Ergebnisse der Metastudien und die angenommenen Rechenwerte der Studien des ifo Instituts (2019) und der TU Eindhoven (2020) gliedern sich wie folgt:</w:t>
      </w:r>
    </w:p>
    <w:tbl>
      <w:tblPr>
        <w:tblStyle w:val="Tabellenraster"/>
        <w:tblW w:w="0" w:type="auto"/>
        <w:tblLook w:val="04A0" w:firstRow="1" w:lastRow="0" w:firstColumn="1" w:lastColumn="0" w:noHBand="0" w:noVBand="1"/>
      </w:tblPr>
      <w:tblGrid>
        <w:gridCol w:w="3020"/>
        <w:gridCol w:w="3020"/>
        <w:gridCol w:w="3020"/>
      </w:tblGrid>
      <w:tr w:rsidR="0039775A" w:rsidRPr="007F22B6" w:rsidTr="0039775A">
        <w:tc>
          <w:tcPr>
            <w:tcW w:w="3020" w:type="dxa"/>
            <w:shd w:val="clear" w:color="auto" w:fill="0070C0"/>
          </w:tcPr>
          <w:p w:rsidR="0039775A" w:rsidRPr="007F22B6" w:rsidRDefault="0039775A" w:rsidP="0039775A">
            <w:pPr>
              <w:spacing w:line="259" w:lineRule="auto"/>
              <w:rPr>
                <w:color w:val="FFFFFF" w:themeColor="background1"/>
              </w:rPr>
            </w:pPr>
            <w:r w:rsidRPr="007F22B6">
              <w:rPr>
                <w:color w:val="FFFFFF" w:themeColor="background1"/>
              </w:rPr>
              <w:t>Studie</w:t>
            </w:r>
          </w:p>
        </w:tc>
        <w:tc>
          <w:tcPr>
            <w:tcW w:w="3020" w:type="dxa"/>
            <w:shd w:val="clear" w:color="auto" w:fill="0070C0"/>
          </w:tcPr>
          <w:p w:rsidR="0039775A" w:rsidRPr="007F22B6" w:rsidRDefault="0039775A" w:rsidP="0039775A">
            <w:pPr>
              <w:spacing w:line="259" w:lineRule="auto"/>
              <w:jc w:val="center"/>
              <w:rPr>
                <w:color w:val="FFFFFF" w:themeColor="background1"/>
              </w:rPr>
            </w:pPr>
            <w:r w:rsidRPr="007F22B6">
              <w:rPr>
                <w:color w:val="FFFFFF" w:themeColor="background1"/>
              </w:rPr>
              <w:t>Metastudie 2017</w:t>
            </w:r>
          </w:p>
        </w:tc>
        <w:tc>
          <w:tcPr>
            <w:tcW w:w="3020" w:type="dxa"/>
            <w:shd w:val="clear" w:color="auto" w:fill="0070C0"/>
          </w:tcPr>
          <w:p w:rsidR="0039775A" w:rsidRPr="007F22B6" w:rsidRDefault="0039775A" w:rsidP="0039775A">
            <w:pPr>
              <w:spacing w:line="259" w:lineRule="auto"/>
              <w:jc w:val="center"/>
              <w:rPr>
                <w:color w:val="FFFFFF" w:themeColor="background1"/>
              </w:rPr>
            </w:pPr>
            <w:r w:rsidRPr="007F22B6">
              <w:rPr>
                <w:color w:val="FFFFFF" w:themeColor="background1"/>
              </w:rPr>
              <w:t>Metastudie 2019</w:t>
            </w:r>
          </w:p>
        </w:tc>
      </w:tr>
      <w:tr w:rsidR="0039775A" w:rsidRPr="007F22B6" w:rsidTr="0039775A">
        <w:tc>
          <w:tcPr>
            <w:tcW w:w="3020" w:type="dxa"/>
            <w:shd w:val="clear" w:color="auto" w:fill="0070C0"/>
          </w:tcPr>
          <w:p w:rsidR="0039775A" w:rsidRPr="007F22B6" w:rsidRDefault="0039775A" w:rsidP="0039775A">
            <w:pPr>
              <w:spacing w:line="259" w:lineRule="auto"/>
              <w:rPr>
                <w:color w:val="FFFFFF" w:themeColor="background1"/>
              </w:rPr>
            </w:pPr>
            <w:r w:rsidRPr="007F22B6">
              <w:rPr>
                <w:color w:val="FFFFFF" w:themeColor="background1"/>
              </w:rPr>
              <w:t>Ermittelte Emissionen</w:t>
            </w:r>
          </w:p>
        </w:tc>
        <w:tc>
          <w:tcPr>
            <w:tcW w:w="3020" w:type="dxa"/>
            <w:shd w:val="clear" w:color="auto" w:fill="E7E6E6" w:themeFill="background2"/>
          </w:tcPr>
          <w:p w:rsidR="0039775A" w:rsidRPr="007F22B6" w:rsidRDefault="0039775A" w:rsidP="0039775A">
            <w:pPr>
              <w:spacing w:line="259" w:lineRule="auto"/>
              <w:jc w:val="center"/>
            </w:pPr>
            <w:r w:rsidRPr="007F22B6">
              <w:t>145 – 195 [kg CO</w:t>
            </w:r>
            <w:r w:rsidRPr="007F22B6">
              <w:rPr>
                <w:vertAlign w:val="subscript"/>
              </w:rPr>
              <w:t>2</w:t>
            </w:r>
            <w:r w:rsidRPr="007F22B6">
              <w:t>eq/kWh]</w:t>
            </w:r>
          </w:p>
        </w:tc>
        <w:tc>
          <w:tcPr>
            <w:tcW w:w="3020" w:type="dxa"/>
            <w:shd w:val="clear" w:color="auto" w:fill="E7E6E6" w:themeFill="background2"/>
          </w:tcPr>
          <w:p w:rsidR="0039775A" w:rsidRPr="007F22B6" w:rsidRDefault="0039775A" w:rsidP="0039775A">
            <w:pPr>
              <w:spacing w:line="259" w:lineRule="auto"/>
              <w:jc w:val="center"/>
            </w:pPr>
            <w:r w:rsidRPr="007F22B6">
              <w:t>61 – 106 [kg CO</w:t>
            </w:r>
            <w:r w:rsidRPr="007F22B6">
              <w:rPr>
                <w:vertAlign w:val="subscript"/>
              </w:rPr>
              <w:t>2</w:t>
            </w:r>
            <w:r w:rsidRPr="007F22B6">
              <w:t>eq/kWh]</w:t>
            </w:r>
          </w:p>
        </w:tc>
      </w:tr>
      <w:tr w:rsidR="0039775A" w:rsidRPr="007F22B6" w:rsidTr="0039775A">
        <w:tc>
          <w:tcPr>
            <w:tcW w:w="3020" w:type="dxa"/>
            <w:shd w:val="clear" w:color="auto" w:fill="0070C0"/>
          </w:tcPr>
          <w:p w:rsidR="0039775A" w:rsidRPr="007F22B6" w:rsidRDefault="0039775A" w:rsidP="0039775A">
            <w:pPr>
              <w:spacing w:line="259" w:lineRule="auto"/>
              <w:rPr>
                <w:color w:val="FFFFFF" w:themeColor="background1"/>
              </w:rPr>
            </w:pPr>
            <w:r w:rsidRPr="007F22B6">
              <w:rPr>
                <w:color w:val="FFFFFF" w:themeColor="background1"/>
              </w:rPr>
              <w:t>Studie</w:t>
            </w:r>
          </w:p>
        </w:tc>
        <w:tc>
          <w:tcPr>
            <w:tcW w:w="3020" w:type="dxa"/>
            <w:shd w:val="clear" w:color="auto" w:fill="0070C0"/>
          </w:tcPr>
          <w:p w:rsidR="0039775A" w:rsidRPr="007F22B6" w:rsidRDefault="0039775A" w:rsidP="0039775A">
            <w:pPr>
              <w:spacing w:line="259" w:lineRule="auto"/>
              <w:jc w:val="center"/>
              <w:rPr>
                <w:color w:val="FFFFFF" w:themeColor="background1"/>
              </w:rPr>
            </w:pPr>
            <w:r w:rsidRPr="007F22B6">
              <w:rPr>
                <w:color w:val="FFFFFF" w:themeColor="background1"/>
              </w:rPr>
              <w:t>ifo Institut</w:t>
            </w:r>
          </w:p>
        </w:tc>
        <w:tc>
          <w:tcPr>
            <w:tcW w:w="3020" w:type="dxa"/>
            <w:shd w:val="clear" w:color="auto" w:fill="0070C0"/>
          </w:tcPr>
          <w:p w:rsidR="0039775A" w:rsidRPr="007F22B6" w:rsidRDefault="0039775A" w:rsidP="0039775A">
            <w:pPr>
              <w:spacing w:line="259" w:lineRule="auto"/>
              <w:jc w:val="center"/>
              <w:rPr>
                <w:color w:val="FFFFFF" w:themeColor="background1"/>
              </w:rPr>
            </w:pPr>
            <w:r w:rsidRPr="007F22B6">
              <w:rPr>
                <w:color w:val="FFFFFF" w:themeColor="background1"/>
              </w:rPr>
              <w:t>TU Eindhoven</w:t>
            </w:r>
          </w:p>
        </w:tc>
      </w:tr>
      <w:tr w:rsidR="0039775A" w:rsidRPr="00104987" w:rsidTr="0039775A">
        <w:tc>
          <w:tcPr>
            <w:tcW w:w="3020" w:type="dxa"/>
            <w:shd w:val="clear" w:color="auto" w:fill="0070C0"/>
          </w:tcPr>
          <w:p w:rsidR="0039775A" w:rsidRPr="007F22B6" w:rsidRDefault="0039775A" w:rsidP="0039775A">
            <w:pPr>
              <w:spacing w:line="259" w:lineRule="auto"/>
              <w:rPr>
                <w:color w:val="FFFFFF" w:themeColor="background1"/>
              </w:rPr>
            </w:pPr>
            <w:r w:rsidRPr="007F22B6">
              <w:rPr>
                <w:color w:val="FFFFFF" w:themeColor="background1"/>
              </w:rPr>
              <w:t>Für die Berechnung genutzte Emissionen</w:t>
            </w:r>
          </w:p>
        </w:tc>
        <w:tc>
          <w:tcPr>
            <w:tcW w:w="3020" w:type="dxa"/>
            <w:shd w:val="clear" w:color="auto" w:fill="E7E6E6" w:themeFill="background2"/>
          </w:tcPr>
          <w:p w:rsidR="0039775A" w:rsidRPr="00104987" w:rsidRDefault="0039775A" w:rsidP="0039775A">
            <w:pPr>
              <w:spacing w:line="259" w:lineRule="auto"/>
              <w:jc w:val="center"/>
              <w:rPr>
                <w:lang w:val="en-US"/>
              </w:rPr>
            </w:pPr>
            <w:r w:rsidRPr="00104987">
              <w:rPr>
                <w:lang w:val="en-US"/>
              </w:rPr>
              <w:t>145 – 195 [kg CO</w:t>
            </w:r>
            <w:r w:rsidRPr="00104987">
              <w:rPr>
                <w:vertAlign w:val="subscript"/>
                <w:lang w:val="en-US"/>
              </w:rPr>
              <w:t>2</w:t>
            </w:r>
            <w:r w:rsidRPr="00104987">
              <w:rPr>
                <w:lang w:val="en-US"/>
              </w:rPr>
              <w:t>eq/kWh]</w:t>
            </w:r>
          </w:p>
          <w:p w:rsidR="007F22B6" w:rsidRPr="00104987" w:rsidRDefault="007F22B6" w:rsidP="007F22B6">
            <w:pPr>
              <w:spacing w:line="259" w:lineRule="auto"/>
              <w:jc w:val="center"/>
              <w:rPr>
                <w:u w:val="single"/>
                <w:lang w:val="en-US"/>
              </w:rPr>
            </w:pPr>
            <w:r w:rsidRPr="00104987">
              <w:rPr>
                <w:u w:val="single"/>
                <w:lang w:val="en-US"/>
              </w:rPr>
              <w:t>Ø 170 kg CO2/kWh</w:t>
            </w:r>
          </w:p>
        </w:tc>
        <w:tc>
          <w:tcPr>
            <w:tcW w:w="3020" w:type="dxa"/>
            <w:shd w:val="clear" w:color="auto" w:fill="E7E6E6" w:themeFill="background2"/>
          </w:tcPr>
          <w:p w:rsidR="007F22B6" w:rsidRPr="00104987" w:rsidRDefault="007F22B6" w:rsidP="0039775A">
            <w:pPr>
              <w:spacing w:line="259" w:lineRule="auto"/>
              <w:jc w:val="center"/>
              <w:rPr>
                <w:u w:val="single"/>
                <w:lang w:val="en-US"/>
              </w:rPr>
            </w:pPr>
            <w:r w:rsidRPr="00104987">
              <w:rPr>
                <w:lang w:val="en-US"/>
              </w:rPr>
              <w:t>61 – 106 [kg CO</w:t>
            </w:r>
            <w:r w:rsidRPr="00104987">
              <w:rPr>
                <w:vertAlign w:val="subscript"/>
                <w:lang w:val="en-US"/>
              </w:rPr>
              <w:t>2</w:t>
            </w:r>
            <w:r w:rsidRPr="00104987">
              <w:rPr>
                <w:lang w:val="en-US"/>
              </w:rPr>
              <w:t>eq/kWh]</w:t>
            </w:r>
          </w:p>
          <w:p w:rsidR="0039775A" w:rsidRPr="00104987" w:rsidRDefault="007F22B6" w:rsidP="0039775A">
            <w:pPr>
              <w:spacing w:line="259" w:lineRule="auto"/>
              <w:jc w:val="center"/>
              <w:rPr>
                <w:u w:val="single"/>
                <w:lang w:val="en-US"/>
              </w:rPr>
            </w:pPr>
            <w:r w:rsidRPr="00104987">
              <w:rPr>
                <w:u w:val="single"/>
                <w:lang w:val="en-US"/>
              </w:rPr>
              <w:t xml:space="preserve">Ø </w:t>
            </w:r>
            <w:r w:rsidR="0039775A" w:rsidRPr="00104987">
              <w:rPr>
                <w:u w:val="single"/>
                <w:lang w:val="en-US"/>
              </w:rPr>
              <w:t>75 [kg CO</w:t>
            </w:r>
            <w:r w:rsidR="0039775A" w:rsidRPr="00104987">
              <w:rPr>
                <w:u w:val="single"/>
                <w:vertAlign w:val="subscript"/>
                <w:lang w:val="en-US"/>
              </w:rPr>
              <w:t>2</w:t>
            </w:r>
            <w:r w:rsidR="0039775A" w:rsidRPr="00104987">
              <w:rPr>
                <w:u w:val="single"/>
                <w:lang w:val="en-US"/>
              </w:rPr>
              <w:t>eq/kWh]</w:t>
            </w:r>
          </w:p>
        </w:tc>
      </w:tr>
    </w:tbl>
    <w:p w:rsidR="0039775A" w:rsidRPr="007F22B6" w:rsidRDefault="00164780" w:rsidP="0039775A">
      <w:r w:rsidRPr="007F22B6">
        <w:t xml:space="preserve">Tabelle 1: Emissionen bei der Batterieproduktion in </w:t>
      </w:r>
      <w:r w:rsidR="001D5D2A" w:rsidRPr="007F22B6">
        <w:t>CO2eq/kW</w:t>
      </w:r>
    </w:p>
    <w:p w:rsidR="00763C90" w:rsidRPr="00763C90" w:rsidRDefault="00164780" w:rsidP="00763C90">
      <w:pPr>
        <w:pStyle w:val="Beschriftung"/>
        <w:spacing w:line="259" w:lineRule="auto"/>
        <w:jc w:val="both"/>
        <w:rPr>
          <w:i w:val="0"/>
          <w:color w:val="auto"/>
          <w:sz w:val="23"/>
          <w:szCs w:val="23"/>
        </w:rPr>
      </w:pPr>
      <w:r w:rsidRPr="007F22B6">
        <w:rPr>
          <w:i w:val="0"/>
          <w:color w:val="auto"/>
          <w:sz w:val="23"/>
          <w:szCs w:val="23"/>
        </w:rPr>
        <w:t xml:space="preserve">Ein wichtiger Unterschied der beiden Studien liegt auch in der angenommenen Lebensdauer der Batterien. Während das ifo </w:t>
      </w:r>
      <w:r w:rsidR="001D5D2A" w:rsidRPr="007F22B6">
        <w:rPr>
          <w:i w:val="0"/>
          <w:color w:val="auto"/>
          <w:sz w:val="23"/>
          <w:szCs w:val="23"/>
        </w:rPr>
        <w:t>Institut</w:t>
      </w:r>
      <w:r w:rsidRPr="007F22B6">
        <w:rPr>
          <w:i w:val="0"/>
          <w:color w:val="auto"/>
          <w:sz w:val="23"/>
          <w:szCs w:val="23"/>
        </w:rPr>
        <w:t xml:space="preserve"> davon ausgeht, dass eine Batterie nach spätestens 150.000</w:t>
      </w:r>
      <w:r w:rsidR="00190483" w:rsidRPr="007F22B6">
        <w:rPr>
          <w:i w:val="0"/>
          <w:color w:val="auto"/>
          <w:sz w:val="23"/>
          <w:szCs w:val="23"/>
        </w:rPr>
        <w:t xml:space="preserve"> </w:t>
      </w:r>
      <w:r w:rsidRPr="007F22B6">
        <w:rPr>
          <w:i w:val="0"/>
          <w:color w:val="auto"/>
          <w:sz w:val="23"/>
          <w:szCs w:val="23"/>
        </w:rPr>
        <w:t>km ersetzt werden muss, setzt die TU Eindhoven 250.000</w:t>
      </w:r>
      <w:r w:rsidR="00190483" w:rsidRPr="007F22B6">
        <w:rPr>
          <w:i w:val="0"/>
          <w:color w:val="auto"/>
          <w:sz w:val="23"/>
          <w:szCs w:val="23"/>
        </w:rPr>
        <w:t xml:space="preserve"> </w:t>
      </w:r>
      <w:r w:rsidRPr="007F22B6">
        <w:rPr>
          <w:i w:val="0"/>
          <w:color w:val="auto"/>
          <w:sz w:val="23"/>
          <w:szCs w:val="23"/>
        </w:rPr>
        <w:t>km als Lebensdauer einer Batterie an. Bei einer höheren Lebensdauer der Batterie verteilen sich die Produktionsemissionen auf mehr Kilometer</w:t>
      </w:r>
      <w:r w:rsidR="001D5D2A" w:rsidRPr="007F22B6">
        <w:rPr>
          <w:i w:val="0"/>
          <w:color w:val="auto"/>
          <w:sz w:val="23"/>
          <w:szCs w:val="23"/>
        </w:rPr>
        <w:t xml:space="preserve"> als bei einer geringen Lebensdauer</w:t>
      </w:r>
      <w:r w:rsidR="00763C90">
        <w:rPr>
          <w:i w:val="0"/>
          <w:color w:val="auto"/>
          <w:sz w:val="23"/>
          <w:szCs w:val="23"/>
        </w:rPr>
        <w:t>.</w:t>
      </w:r>
      <w:r w:rsidRPr="007F22B6">
        <w:rPr>
          <w:i w:val="0"/>
          <w:color w:val="auto"/>
          <w:sz w:val="23"/>
          <w:szCs w:val="23"/>
        </w:rPr>
        <w:t xml:space="preserve"> </w:t>
      </w:r>
      <w:r w:rsidR="00763C90">
        <w:rPr>
          <w:i w:val="0"/>
          <w:color w:val="auto"/>
          <w:sz w:val="23"/>
          <w:szCs w:val="23"/>
        </w:rPr>
        <w:t>D</w:t>
      </w:r>
      <w:r w:rsidRPr="007F22B6">
        <w:rPr>
          <w:i w:val="0"/>
          <w:color w:val="auto"/>
          <w:sz w:val="23"/>
          <w:szCs w:val="23"/>
        </w:rPr>
        <w:t>ie Emissionen pro Kilomete</w:t>
      </w:r>
      <w:r w:rsidR="00763C90">
        <w:rPr>
          <w:i w:val="0"/>
          <w:color w:val="auto"/>
          <w:sz w:val="23"/>
          <w:szCs w:val="23"/>
        </w:rPr>
        <w:t>r sinken entsprechend</w:t>
      </w:r>
      <w:r w:rsidRPr="007F22B6">
        <w:rPr>
          <w:i w:val="0"/>
          <w:color w:val="auto"/>
          <w:sz w:val="23"/>
          <w:szCs w:val="23"/>
        </w:rPr>
        <w:t>. Die Lebensdauer der Batterien und die hiermit verbundene Garantie werden von den Autoherstellern Volkswagen, Mercedes, Fiat und Nissan mit 160.000</w:t>
      </w:r>
      <w:r w:rsidR="00190483" w:rsidRPr="007F22B6">
        <w:rPr>
          <w:i w:val="0"/>
          <w:color w:val="auto"/>
          <w:sz w:val="23"/>
          <w:szCs w:val="23"/>
        </w:rPr>
        <w:t xml:space="preserve"> </w:t>
      </w:r>
      <w:r w:rsidRPr="007F22B6">
        <w:rPr>
          <w:i w:val="0"/>
          <w:color w:val="auto"/>
          <w:sz w:val="23"/>
          <w:szCs w:val="23"/>
        </w:rPr>
        <w:t>km angegeben. Bei Tesla liegt diese bei einigen Modellen sogar bei 240.000</w:t>
      </w:r>
      <w:r w:rsidR="00190483" w:rsidRPr="007F22B6">
        <w:rPr>
          <w:i w:val="0"/>
          <w:color w:val="auto"/>
          <w:sz w:val="23"/>
          <w:szCs w:val="23"/>
        </w:rPr>
        <w:t xml:space="preserve"> </w:t>
      </w:r>
      <w:r w:rsidRPr="007F22B6">
        <w:rPr>
          <w:i w:val="0"/>
          <w:color w:val="auto"/>
          <w:sz w:val="23"/>
          <w:szCs w:val="23"/>
        </w:rPr>
        <w:t>km. Erste empirische Studien zeigen, dass die Batterien in der Regel länger halten und teilweise sogar die Lebensdauer der Autos selbst übersteigen können. Jedoch ist die Studienlage hierzu noch begrenzt.</w:t>
      </w:r>
      <w:r w:rsidR="007F22B6">
        <w:rPr>
          <w:i w:val="0"/>
          <w:color w:val="auto"/>
          <w:sz w:val="23"/>
          <w:szCs w:val="23"/>
        </w:rPr>
        <w:t xml:space="preserve"> Keine der beiden Studien berechnet</w:t>
      </w:r>
      <w:r w:rsidR="00763C90">
        <w:rPr>
          <w:i w:val="0"/>
          <w:color w:val="auto"/>
          <w:sz w:val="23"/>
          <w:szCs w:val="23"/>
        </w:rPr>
        <w:t xml:space="preserve"> jedoch</w:t>
      </w:r>
      <w:r w:rsidR="007F22B6">
        <w:rPr>
          <w:i w:val="0"/>
          <w:color w:val="auto"/>
          <w:sz w:val="23"/>
          <w:szCs w:val="23"/>
        </w:rPr>
        <w:t xml:space="preserve"> die Emissionen des Recyclingprozesses, sowohl für die Autos als auch für die Batterien. Der Grund ist, dass gerade für letztere vielfach noch verlässliche Daten fehlen. </w:t>
      </w:r>
    </w:p>
    <w:p w:rsidR="001D5D2A" w:rsidRPr="001D5D2A" w:rsidRDefault="001D5D2A" w:rsidP="001D5D2A">
      <w:pPr>
        <w:spacing w:line="259" w:lineRule="auto"/>
        <w:jc w:val="both"/>
        <w:rPr>
          <w:rFonts w:cs="Times New Roman"/>
          <w:b/>
          <w:sz w:val="24"/>
          <w:szCs w:val="24"/>
        </w:rPr>
      </w:pPr>
      <w:r w:rsidRPr="001D5D2A">
        <w:rPr>
          <w:rFonts w:cs="Times New Roman"/>
          <w:b/>
          <w:sz w:val="24"/>
          <w:szCs w:val="24"/>
        </w:rPr>
        <w:t>Arbeitsaufträge:</w:t>
      </w:r>
    </w:p>
    <w:p w:rsidR="001D5D2A" w:rsidRPr="007F22B6" w:rsidRDefault="001D5D2A" w:rsidP="001D5D2A">
      <w:pPr>
        <w:pStyle w:val="Listenabsatz"/>
        <w:numPr>
          <w:ilvl w:val="0"/>
          <w:numId w:val="9"/>
        </w:numPr>
        <w:ind w:left="714" w:hanging="357"/>
        <w:jc w:val="both"/>
        <w:rPr>
          <w:rFonts w:ascii="Times New Roman" w:hAnsi="Times New Roman" w:cs="Times New Roman"/>
          <w:sz w:val="23"/>
          <w:szCs w:val="23"/>
        </w:rPr>
      </w:pPr>
      <w:r w:rsidRPr="007F22B6">
        <w:rPr>
          <w:rFonts w:ascii="Times New Roman" w:hAnsi="Times New Roman" w:cs="Times New Roman"/>
          <w:sz w:val="23"/>
          <w:szCs w:val="23"/>
        </w:rPr>
        <w:t>Erläutere die Bedeutung der ausgewählten Emissionsberechnung für die Datenlage der Studie.</w:t>
      </w:r>
    </w:p>
    <w:p w:rsidR="001D5D2A" w:rsidRPr="007F22B6" w:rsidRDefault="001D5D2A" w:rsidP="001D5D2A">
      <w:pPr>
        <w:pStyle w:val="Listenabsatz"/>
        <w:numPr>
          <w:ilvl w:val="0"/>
          <w:numId w:val="9"/>
        </w:numPr>
        <w:ind w:left="714" w:hanging="357"/>
        <w:jc w:val="both"/>
        <w:rPr>
          <w:rFonts w:ascii="Times New Roman" w:hAnsi="Times New Roman" w:cs="Times New Roman"/>
          <w:sz w:val="23"/>
          <w:szCs w:val="23"/>
        </w:rPr>
      </w:pPr>
      <w:r w:rsidRPr="007F22B6">
        <w:rPr>
          <w:rFonts w:ascii="Times New Roman" w:hAnsi="Times New Roman" w:cs="Times New Roman"/>
          <w:sz w:val="23"/>
          <w:szCs w:val="23"/>
        </w:rPr>
        <w:t>Begründet, welchem Ansatz der beiden Studien ihr folgen würdet.</w:t>
      </w:r>
    </w:p>
    <w:p w:rsidR="00763C90" w:rsidRPr="00763C90" w:rsidRDefault="001D5D2A" w:rsidP="00763C90">
      <w:pPr>
        <w:pStyle w:val="Listenabsatz"/>
        <w:numPr>
          <w:ilvl w:val="0"/>
          <w:numId w:val="9"/>
        </w:numPr>
        <w:ind w:left="714" w:hanging="357"/>
        <w:jc w:val="both"/>
        <w:rPr>
          <w:rFonts w:ascii="Times New Roman" w:hAnsi="Times New Roman" w:cs="Times New Roman"/>
          <w:sz w:val="23"/>
          <w:szCs w:val="23"/>
        </w:rPr>
      </w:pPr>
      <w:r w:rsidRPr="007F22B6">
        <w:rPr>
          <w:rFonts w:ascii="Times New Roman" w:hAnsi="Times New Roman" w:cs="Times New Roman"/>
          <w:sz w:val="23"/>
          <w:szCs w:val="23"/>
        </w:rPr>
        <w:t>Entwickelt zusätzliche Möglichkeiten für einen Vergleich, die von den Studien nicht gewählt wurden.</w:t>
      </w:r>
    </w:p>
    <w:p w:rsidR="007F22B6" w:rsidRPr="0039775A" w:rsidRDefault="0039775A" w:rsidP="0039775A">
      <w:pPr>
        <w:jc w:val="both"/>
        <w:rPr>
          <w:rFonts w:cs="Times New Roman"/>
          <w:b/>
          <w:sz w:val="24"/>
        </w:rPr>
      </w:pPr>
      <w:r w:rsidRPr="0039775A">
        <w:rPr>
          <w:rFonts w:cs="Times New Roman"/>
          <w:b/>
          <w:sz w:val="24"/>
        </w:rPr>
        <w:lastRenderedPageBreak/>
        <w:t xml:space="preserve">Gruppe </w:t>
      </w:r>
      <w:r w:rsidR="00F420C9">
        <w:rPr>
          <w:rFonts w:cs="Times New Roman"/>
          <w:b/>
          <w:sz w:val="24"/>
        </w:rPr>
        <w:t>3</w:t>
      </w:r>
      <w:r w:rsidRPr="0039775A">
        <w:rPr>
          <w:rFonts w:cs="Times New Roman"/>
          <w:b/>
          <w:sz w:val="24"/>
        </w:rPr>
        <w:t xml:space="preserve">: Zusatzinformationen </w:t>
      </w:r>
    </w:p>
    <w:tbl>
      <w:tblPr>
        <w:tblStyle w:val="Tabellenraster"/>
        <w:tblW w:w="0" w:type="auto"/>
        <w:tblLook w:val="04A0" w:firstRow="1" w:lastRow="0" w:firstColumn="1" w:lastColumn="0" w:noHBand="0" w:noVBand="1"/>
      </w:tblPr>
      <w:tblGrid>
        <w:gridCol w:w="2268"/>
        <w:gridCol w:w="1985"/>
        <w:gridCol w:w="2977"/>
        <w:gridCol w:w="1837"/>
      </w:tblGrid>
      <w:tr w:rsidR="00164780" w:rsidRPr="00D6015F" w:rsidTr="00164780">
        <w:trPr>
          <w:trHeight w:val="273"/>
        </w:trPr>
        <w:tc>
          <w:tcPr>
            <w:tcW w:w="2268" w:type="dxa"/>
            <w:tcBorders>
              <w:top w:val="nil"/>
              <w:left w:val="nil"/>
              <w:bottom w:val="single" w:sz="4" w:space="0" w:color="auto"/>
              <w:right w:val="single" w:sz="4" w:space="0" w:color="auto"/>
            </w:tcBorders>
            <w:shd w:val="clear" w:color="auto" w:fill="FFFFFF" w:themeFill="background1"/>
          </w:tcPr>
          <w:p w:rsidR="00164780" w:rsidRPr="001D5D2A" w:rsidRDefault="00164780" w:rsidP="00164780">
            <w:pPr>
              <w:spacing w:line="259" w:lineRule="auto"/>
              <w:jc w:val="center"/>
              <w:rPr>
                <w:u w:val="single"/>
              </w:rPr>
            </w:pPr>
            <w:r w:rsidRPr="001D5D2A">
              <w:rPr>
                <w:u w:val="single"/>
              </w:rPr>
              <w:t>Studienautoren</w:t>
            </w:r>
          </w:p>
        </w:tc>
        <w:tc>
          <w:tcPr>
            <w:tcW w:w="1985" w:type="dxa"/>
            <w:tcBorders>
              <w:left w:val="single" w:sz="4" w:space="0" w:color="auto"/>
            </w:tcBorders>
            <w:shd w:val="clear" w:color="auto" w:fill="0070C0"/>
          </w:tcPr>
          <w:p w:rsidR="00164780" w:rsidRPr="001D5D2A" w:rsidRDefault="00164780" w:rsidP="005A33F1">
            <w:pPr>
              <w:spacing w:line="259" w:lineRule="auto"/>
              <w:jc w:val="center"/>
              <w:rPr>
                <w:color w:val="FFFFFF" w:themeColor="background1"/>
              </w:rPr>
            </w:pPr>
            <w:r w:rsidRPr="001D5D2A">
              <w:rPr>
                <w:color w:val="FFFFFF" w:themeColor="background1"/>
              </w:rPr>
              <w:t>Lebenszyklus</w:t>
            </w:r>
          </w:p>
        </w:tc>
        <w:tc>
          <w:tcPr>
            <w:tcW w:w="2977" w:type="dxa"/>
            <w:shd w:val="clear" w:color="auto" w:fill="0070C0"/>
          </w:tcPr>
          <w:p w:rsidR="00164780" w:rsidRPr="001D5D2A" w:rsidRDefault="00164780" w:rsidP="00164780">
            <w:pPr>
              <w:spacing w:line="259" w:lineRule="auto"/>
              <w:jc w:val="center"/>
              <w:rPr>
                <w:color w:val="FFFFFF" w:themeColor="background1"/>
              </w:rPr>
            </w:pPr>
            <w:r w:rsidRPr="001D5D2A">
              <w:rPr>
                <w:color w:val="FFFFFF" w:themeColor="background1"/>
              </w:rPr>
              <w:t xml:space="preserve">Treibhausgasemissionen </w:t>
            </w:r>
          </w:p>
        </w:tc>
        <w:tc>
          <w:tcPr>
            <w:tcW w:w="1837" w:type="dxa"/>
            <w:shd w:val="clear" w:color="auto" w:fill="0070C0"/>
          </w:tcPr>
          <w:p w:rsidR="00164780" w:rsidRPr="001D5D2A" w:rsidRDefault="00164780" w:rsidP="00164780">
            <w:pPr>
              <w:spacing w:line="259" w:lineRule="auto"/>
              <w:jc w:val="center"/>
              <w:rPr>
                <w:color w:val="FFFFFF" w:themeColor="background1"/>
              </w:rPr>
            </w:pPr>
            <w:r w:rsidRPr="001D5D2A">
              <w:rPr>
                <w:color w:val="FFFFFF" w:themeColor="background1"/>
              </w:rPr>
              <w:t>Batteriekapazität</w:t>
            </w:r>
          </w:p>
        </w:tc>
      </w:tr>
      <w:tr w:rsidR="00164780" w:rsidRPr="00D6015F" w:rsidTr="00164780">
        <w:trPr>
          <w:trHeight w:val="273"/>
        </w:trPr>
        <w:tc>
          <w:tcPr>
            <w:tcW w:w="2268" w:type="dxa"/>
            <w:tcBorders>
              <w:top w:val="single" w:sz="4" w:space="0" w:color="auto"/>
              <w:left w:val="single" w:sz="4" w:space="0" w:color="auto"/>
              <w:bottom w:val="single" w:sz="4" w:space="0" w:color="auto"/>
              <w:right w:val="single" w:sz="4" w:space="0" w:color="auto"/>
            </w:tcBorders>
            <w:shd w:val="clear" w:color="auto" w:fill="0070C0"/>
          </w:tcPr>
          <w:p w:rsidR="00164780" w:rsidRPr="001D5D2A" w:rsidRDefault="00164780" w:rsidP="005A33F1">
            <w:pPr>
              <w:spacing w:line="259" w:lineRule="auto"/>
              <w:jc w:val="both"/>
              <w:rPr>
                <w:color w:val="FFFFFF" w:themeColor="background1"/>
              </w:rPr>
            </w:pPr>
            <w:r w:rsidRPr="001D5D2A">
              <w:rPr>
                <w:color w:val="FFFFFF" w:themeColor="background1"/>
              </w:rPr>
              <w:t>Notter et al. (2010)</w:t>
            </w:r>
          </w:p>
        </w:tc>
        <w:tc>
          <w:tcPr>
            <w:tcW w:w="1985" w:type="dxa"/>
            <w:tcBorders>
              <w:left w:val="single" w:sz="4" w:space="0" w:color="auto"/>
            </w:tcBorders>
            <w:shd w:val="clear" w:color="auto" w:fill="E7E6E6" w:themeFill="background2"/>
          </w:tcPr>
          <w:p w:rsidR="00164780" w:rsidRPr="001D5D2A" w:rsidRDefault="00164780" w:rsidP="005A33F1">
            <w:pPr>
              <w:spacing w:line="259" w:lineRule="auto"/>
              <w:jc w:val="center"/>
            </w:pPr>
            <w:r w:rsidRPr="001D5D2A">
              <w:t>150.000</w:t>
            </w:r>
            <w:r w:rsidR="00190483">
              <w:t xml:space="preserve"> </w:t>
            </w:r>
            <w:r w:rsidRPr="001D5D2A">
              <w:t xml:space="preserve">km </w:t>
            </w:r>
          </w:p>
        </w:tc>
        <w:tc>
          <w:tcPr>
            <w:tcW w:w="2977" w:type="dxa"/>
            <w:shd w:val="clear" w:color="auto" w:fill="E7E6E6" w:themeFill="background2"/>
          </w:tcPr>
          <w:p w:rsidR="00164780" w:rsidRPr="001D5D2A" w:rsidRDefault="00164780" w:rsidP="005A33F1">
            <w:pPr>
              <w:spacing w:line="259" w:lineRule="auto"/>
              <w:jc w:val="center"/>
            </w:pPr>
            <w:r w:rsidRPr="001D5D2A">
              <w:t>52,6 kg CO2eq/kWh</w:t>
            </w:r>
          </w:p>
        </w:tc>
        <w:tc>
          <w:tcPr>
            <w:tcW w:w="1837" w:type="dxa"/>
            <w:shd w:val="clear" w:color="auto" w:fill="E7E6E6" w:themeFill="background2"/>
          </w:tcPr>
          <w:p w:rsidR="00164780" w:rsidRPr="001D5D2A" w:rsidRDefault="00164780" w:rsidP="005A33F1">
            <w:pPr>
              <w:spacing w:line="259" w:lineRule="auto"/>
              <w:jc w:val="center"/>
            </w:pPr>
            <w:r w:rsidRPr="001D5D2A">
              <w:t>34 kWh</w:t>
            </w:r>
          </w:p>
        </w:tc>
      </w:tr>
      <w:tr w:rsidR="00164780" w:rsidRPr="00D6015F" w:rsidTr="00164780">
        <w:trPr>
          <w:trHeight w:val="273"/>
        </w:trPr>
        <w:tc>
          <w:tcPr>
            <w:tcW w:w="2268" w:type="dxa"/>
            <w:tcBorders>
              <w:top w:val="single" w:sz="4" w:space="0" w:color="auto"/>
              <w:left w:val="single" w:sz="4" w:space="0" w:color="auto"/>
              <w:bottom w:val="single" w:sz="4" w:space="0" w:color="auto"/>
              <w:right w:val="single" w:sz="4" w:space="0" w:color="auto"/>
            </w:tcBorders>
            <w:shd w:val="clear" w:color="auto" w:fill="0070C0"/>
          </w:tcPr>
          <w:p w:rsidR="00164780" w:rsidRPr="001D5D2A" w:rsidRDefault="00164780" w:rsidP="005A33F1">
            <w:pPr>
              <w:spacing w:line="259" w:lineRule="auto"/>
              <w:jc w:val="both"/>
              <w:rPr>
                <w:color w:val="FFFFFF" w:themeColor="background1"/>
              </w:rPr>
            </w:pPr>
            <w:r w:rsidRPr="001D5D2A">
              <w:rPr>
                <w:color w:val="FFFFFF" w:themeColor="background1"/>
              </w:rPr>
              <w:t>Hawkins et al. (2010)</w:t>
            </w:r>
          </w:p>
        </w:tc>
        <w:tc>
          <w:tcPr>
            <w:tcW w:w="1985" w:type="dxa"/>
            <w:tcBorders>
              <w:left w:val="single" w:sz="4" w:space="0" w:color="auto"/>
            </w:tcBorders>
            <w:shd w:val="clear" w:color="auto" w:fill="E7E6E6" w:themeFill="background2"/>
          </w:tcPr>
          <w:p w:rsidR="00164780" w:rsidRPr="001D5D2A" w:rsidRDefault="00164780" w:rsidP="00164780">
            <w:pPr>
              <w:spacing w:line="259" w:lineRule="auto"/>
              <w:jc w:val="center"/>
            </w:pPr>
            <w:r w:rsidRPr="001D5D2A">
              <w:t>150.000</w:t>
            </w:r>
            <w:r w:rsidR="00190483">
              <w:t xml:space="preserve"> </w:t>
            </w:r>
            <w:r w:rsidRPr="001D5D2A">
              <w:t>km</w:t>
            </w:r>
          </w:p>
        </w:tc>
        <w:tc>
          <w:tcPr>
            <w:tcW w:w="2977" w:type="dxa"/>
            <w:shd w:val="clear" w:color="auto" w:fill="E7E6E6" w:themeFill="background2"/>
          </w:tcPr>
          <w:p w:rsidR="00164780" w:rsidRPr="001D5D2A" w:rsidRDefault="00164780" w:rsidP="005A33F1">
            <w:pPr>
              <w:spacing w:line="259" w:lineRule="auto"/>
              <w:jc w:val="center"/>
            </w:pPr>
            <w:r w:rsidRPr="001D5D2A">
              <w:t>187,5 kg CO2eq/kWh</w:t>
            </w:r>
          </w:p>
        </w:tc>
        <w:tc>
          <w:tcPr>
            <w:tcW w:w="1837" w:type="dxa"/>
            <w:shd w:val="clear" w:color="auto" w:fill="E7E6E6" w:themeFill="background2"/>
          </w:tcPr>
          <w:p w:rsidR="00164780" w:rsidRPr="001D5D2A" w:rsidRDefault="00164780" w:rsidP="005A33F1">
            <w:pPr>
              <w:spacing w:line="259" w:lineRule="auto"/>
              <w:jc w:val="center"/>
            </w:pPr>
            <w:r w:rsidRPr="001D5D2A">
              <w:t>24 kWh</w:t>
            </w:r>
          </w:p>
        </w:tc>
      </w:tr>
      <w:tr w:rsidR="00164780" w:rsidRPr="00D6015F" w:rsidTr="00164780">
        <w:trPr>
          <w:trHeight w:val="273"/>
        </w:trPr>
        <w:tc>
          <w:tcPr>
            <w:tcW w:w="2268" w:type="dxa"/>
            <w:tcBorders>
              <w:top w:val="single" w:sz="4" w:space="0" w:color="auto"/>
              <w:left w:val="single" w:sz="4" w:space="0" w:color="auto"/>
              <w:bottom w:val="single" w:sz="4" w:space="0" w:color="auto"/>
              <w:right w:val="single" w:sz="4" w:space="0" w:color="auto"/>
            </w:tcBorders>
            <w:shd w:val="clear" w:color="auto" w:fill="0070C0"/>
          </w:tcPr>
          <w:p w:rsidR="00164780" w:rsidRPr="001D5D2A" w:rsidRDefault="00164780" w:rsidP="005A33F1">
            <w:pPr>
              <w:spacing w:line="259" w:lineRule="auto"/>
              <w:jc w:val="both"/>
              <w:rPr>
                <w:color w:val="FFFFFF" w:themeColor="background1"/>
              </w:rPr>
            </w:pPr>
            <w:r w:rsidRPr="001D5D2A">
              <w:rPr>
                <w:color w:val="FFFFFF" w:themeColor="background1"/>
              </w:rPr>
              <w:t>Bauer et al. 2015</w:t>
            </w:r>
          </w:p>
        </w:tc>
        <w:tc>
          <w:tcPr>
            <w:tcW w:w="1985" w:type="dxa"/>
            <w:tcBorders>
              <w:left w:val="single" w:sz="4" w:space="0" w:color="auto"/>
            </w:tcBorders>
            <w:shd w:val="clear" w:color="auto" w:fill="E7E6E6" w:themeFill="background2"/>
          </w:tcPr>
          <w:p w:rsidR="00164780" w:rsidRPr="001D5D2A" w:rsidRDefault="00164780" w:rsidP="005A33F1">
            <w:pPr>
              <w:spacing w:line="259" w:lineRule="auto"/>
              <w:jc w:val="center"/>
            </w:pPr>
            <w:r w:rsidRPr="001D5D2A">
              <w:t>240.000</w:t>
            </w:r>
            <w:r w:rsidR="00190483">
              <w:t xml:space="preserve"> </w:t>
            </w:r>
            <w:r w:rsidRPr="001D5D2A">
              <w:t>km</w:t>
            </w:r>
          </w:p>
        </w:tc>
        <w:tc>
          <w:tcPr>
            <w:tcW w:w="2977" w:type="dxa"/>
            <w:shd w:val="clear" w:color="auto" w:fill="E7E6E6" w:themeFill="background2"/>
          </w:tcPr>
          <w:p w:rsidR="00164780" w:rsidRPr="001D5D2A" w:rsidRDefault="00164780" w:rsidP="00164780">
            <w:pPr>
              <w:spacing w:line="259" w:lineRule="auto"/>
              <w:jc w:val="center"/>
            </w:pPr>
            <w:r w:rsidRPr="001D5D2A">
              <w:t xml:space="preserve">168 kg CO2eq/kWh </w:t>
            </w:r>
          </w:p>
        </w:tc>
        <w:tc>
          <w:tcPr>
            <w:tcW w:w="1837" w:type="dxa"/>
            <w:shd w:val="clear" w:color="auto" w:fill="E7E6E6" w:themeFill="background2"/>
          </w:tcPr>
          <w:p w:rsidR="00164780" w:rsidRPr="001D5D2A" w:rsidRDefault="00164780" w:rsidP="005A33F1">
            <w:pPr>
              <w:spacing w:line="259" w:lineRule="auto"/>
              <w:jc w:val="center"/>
            </w:pPr>
            <w:r w:rsidRPr="001D5D2A">
              <w:t>25 kWh</w:t>
            </w:r>
          </w:p>
        </w:tc>
      </w:tr>
      <w:tr w:rsidR="00164780" w:rsidRPr="00D6015F" w:rsidTr="00164780">
        <w:trPr>
          <w:trHeight w:val="273"/>
        </w:trPr>
        <w:tc>
          <w:tcPr>
            <w:tcW w:w="2268" w:type="dxa"/>
            <w:tcBorders>
              <w:top w:val="single" w:sz="4" w:space="0" w:color="auto"/>
              <w:left w:val="single" w:sz="4" w:space="0" w:color="auto"/>
              <w:bottom w:val="single" w:sz="4" w:space="0" w:color="auto"/>
              <w:right w:val="single" w:sz="4" w:space="0" w:color="auto"/>
            </w:tcBorders>
            <w:shd w:val="clear" w:color="auto" w:fill="0070C0"/>
          </w:tcPr>
          <w:p w:rsidR="00164780" w:rsidRPr="001D5D2A" w:rsidRDefault="00164780" w:rsidP="005A33F1">
            <w:pPr>
              <w:spacing w:line="259" w:lineRule="auto"/>
              <w:jc w:val="both"/>
              <w:rPr>
                <w:color w:val="FFFFFF" w:themeColor="background1"/>
              </w:rPr>
            </w:pPr>
            <w:r w:rsidRPr="001D5D2A">
              <w:rPr>
                <w:color w:val="FFFFFF" w:themeColor="background1"/>
              </w:rPr>
              <w:t>Helms et al. 2016</w:t>
            </w:r>
          </w:p>
        </w:tc>
        <w:tc>
          <w:tcPr>
            <w:tcW w:w="1985" w:type="dxa"/>
            <w:tcBorders>
              <w:left w:val="single" w:sz="4" w:space="0" w:color="auto"/>
            </w:tcBorders>
            <w:shd w:val="clear" w:color="auto" w:fill="E7E6E6" w:themeFill="background2"/>
          </w:tcPr>
          <w:p w:rsidR="00164780" w:rsidRPr="001D5D2A" w:rsidRDefault="00164780" w:rsidP="005A33F1">
            <w:pPr>
              <w:spacing w:line="259" w:lineRule="auto"/>
              <w:jc w:val="center"/>
            </w:pPr>
            <w:r w:rsidRPr="001D5D2A">
              <w:t>168.000</w:t>
            </w:r>
            <w:r w:rsidR="00190483">
              <w:t xml:space="preserve"> </w:t>
            </w:r>
            <w:r w:rsidRPr="001D5D2A">
              <w:t>km</w:t>
            </w:r>
          </w:p>
        </w:tc>
        <w:tc>
          <w:tcPr>
            <w:tcW w:w="2977" w:type="dxa"/>
            <w:shd w:val="clear" w:color="auto" w:fill="E7E6E6" w:themeFill="background2"/>
          </w:tcPr>
          <w:p w:rsidR="00164780" w:rsidRPr="001D5D2A" w:rsidRDefault="00164780" w:rsidP="005A33F1">
            <w:pPr>
              <w:spacing w:line="259" w:lineRule="auto"/>
              <w:jc w:val="center"/>
            </w:pPr>
            <w:r w:rsidRPr="001D5D2A">
              <w:t>124 kg CO2eq/kWh</w:t>
            </w:r>
          </w:p>
        </w:tc>
        <w:tc>
          <w:tcPr>
            <w:tcW w:w="1837" w:type="dxa"/>
            <w:shd w:val="clear" w:color="auto" w:fill="E7E6E6" w:themeFill="background2"/>
          </w:tcPr>
          <w:p w:rsidR="00164780" w:rsidRPr="001D5D2A" w:rsidRDefault="00164780" w:rsidP="005A33F1">
            <w:pPr>
              <w:spacing w:line="259" w:lineRule="auto"/>
              <w:jc w:val="center"/>
            </w:pPr>
            <w:r w:rsidRPr="001D5D2A">
              <w:t>27,3 kWh</w:t>
            </w:r>
          </w:p>
        </w:tc>
      </w:tr>
      <w:tr w:rsidR="00164780" w:rsidRPr="00D6015F" w:rsidTr="00164780">
        <w:trPr>
          <w:trHeight w:val="273"/>
        </w:trPr>
        <w:tc>
          <w:tcPr>
            <w:tcW w:w="2268" w:type="dxa"/>
            <w:tcBorders>
              <w:top w:val="single" w:sz="4" w:space="0" w:color="auto"/>
              <w:left w:val="single" w:sz="4" w:space="0" w:color="auto"/>
              <w:bottom w:val="single" w:sz="4" w:space="0" w:color="auto"/>
              <w:right w:val="single" w:sz="4" w:space="0" w:color="auto"/>
            </w:tcBorders>
            <w:shd w:val="clear" w:color="auto" w:fill="0070C0"/>
          </w:tcPr>
          <w:p w:rsidR="00164780" w:rsidRPr="001D5D2A" w:rsidRDefault="00164780" w:rsidP="005A33F1">
            <w:pPr>
              <w:spacing w:line="259" w:lineRule="auto"/>
              <w:jc w:val="both"/>
              <w:rPr>
                <w:color w:val="FFFFFF" w:themeColor="background1"/>
              </w:rPr>
            </w:pPr>
            <w:proofErr w:type="spellStart"/>
            <w:r w:rsidRPr="001D5D2A">
              <w:rPr>
                <w:color w:val="FFFFFF" w:themeColor="background1"/>
              </w:rPr>
              <w:t>Ellingsen</w:t>
            </w:r>
            <w:proofErr w:type="spellEnd"/>
            <w:r w:rsidRPr="001D5D2A">
              <w:rPr>
                <w:color w:val="FFFFFF" w:themeColor="background1"/>
              </w:rPr>
              <w:t xml:space="preserve"> et al. 2016</w:t>
            </w:r>
          </w:p>
        </w:tc>
        <w:tc>
          <w:tcPr>
            <w:tcW w:w="1985" w:type="dxa"/>
            <w:tcBorders>
              <w:left w:val="single" w:sz="4" w:space="0" w:color="auto"/>
            </w:tcBorders>
            <w:shd w:val="clear" w:color="auto" w:fill="E7E6E6" w:themeFill="background2"/>
          </w:tcPr>
          <w:p w:rsidR="00164780" w:rsidRPr="001D5D2A" w:rsidRDefault="00164780" w:rsidP="005A33F1">
            <w:pPr>
              <w:spacing w:line="259" w:lineRule="auto"/>
              <w:jc w:val="center"/>
            </w:pPr>
            <w:r w:rsidRPr="001D5D2A">
              <w:t>180.000</w:t>
            </w:r>
            <w:r w:rsidR="00190483">
              <w:t xml:space="preserve"> </w:t>
            </w:r>
            <w:r w:rsidRPr="001D5D2A">
              <w:t>km</w:t>
            </w:r>
          </w:p>
        </w:tc>
        <w:tc>
          <w:tcPr>
            <w:tcW w:w="2977" w:type="dxa"/>
            <w:shd w:val="clear" w:color="auto" w:fill="E7E6E6" w:themeFill="background2"/>
          </w:tcPr>
          <w:p w:rsidR="00164780" w:rsidRPr="001D5D2A" w:rsidRDefault="00164780" w:rsidP="005A33F1">
            <w:pPr>
              <w:spacing w:line="259" w:lineRule="auto"/>
              <w:jc w:val="center"/>
            </w:pPr>
            <w:r w:rsidRPr="001D5D2A">
              <w:t>120 kg CO2eq/kWh</w:t>
            </w:r>
          </w:p>
        </w:tc>
        <w:tc>
          <w:tcPr>
            <w:tcW w:w="1837" w:type="dxa"/>
            <w:shd w:val="clear" w:color="auto" w:fill="E7E6E6" w:themeFill="background2"/>
          </w:tcPr>
          <w:p w:rsidR="00164780" w:rsidRPr="001D5D2A" w:rsidRDefault="00164780" w:rsidP="005A33F1">
            <w:pPr>
              <w:spacing w:line="259" w:lineRule="auto"/>
              <w:jc w:val="center"/>
            </w:pPr>
            <w:r w:rsidRPr="001D5D2A">
              <w:t>26,6 kWh</w:t>
            </w:r>
          </w:p>
        </w:tc>
      </w:tr>
      <w:tr w:rsidR="00164780" w:rsidRPr="00D6015F" w:rsidTr="00164780">
        <w:trPr>
          <w:trHeight w:val="273"/>
        </w:trPr>
        <w:tc>
          <w:tcPr>
            <w:tcW w:w="2268" w:type="dxa"/>
            <w:tcBorders>
              <w:top w:val="single" w:sz="4" w:space="0" w:color="auto"/>
              <w:left w:val="single" w:sz="4" w:space="0" w:color="auto"/>
              <w:bottom w:val="single" w:sz="4" w:space="0" w:color="auto"/>
              <w:right w:val="single" w:sz="4" w:space="0" w:color="auto"/>
            </w:tcBorders>
            <w:shd w:val="clear" w:color="auto" w:fill="0070C0"/>
          </w:tcPr>
          <w:p w:rsidR="00164780" w:rsidRPr="001D5D2A" w:rsidRDefault="00164780" w:rsidP="005A33F1">
            <w:pPr>
              <w:spacing w:line="259" w:lineRule="auto"/>
              <w:jc w:val="both"/>
              <w:rPr>
                <w:color w:val="FFFFFF" w:themeColor="background1"/>
              </w:rPr>
            </w:pPr>
            <w:r w:rsidRPr="001D5D2A">
              <w:rPr>
                <w:color w:val="FFFFFF" w:themeColor="background1"/>
              </w:rPr>
              <w:t>ADAC 2018</w:t>
            </w:r>
          </w:p>
        </w:tc>
        <w:tc>
          <w:tcPr>
            <w:tcW w:w="1985" w:type="dxa"/>
            <w:tcBorders>
              <w:left w:val="single" w:sz="4" w:space="0" w:color="auto"/>
            </w:tcBorders>
            <w:shd w:val="clear" w:color="auto" w:fill="E7E6E6" w:themeFill="background2"/>
          </w:tcPr>
          <w:p w:rsidR="00164780" w:rsidRPr="001D5D2A" w:rsidRDefault="00164780" w:rsidP="005A33F1">
            <w:pPr>
              <w:spacing w:line="259" w:lineRule="auto"/>
              <w:jc w:val="center"/>
            </w:pPr>
            <w:r w:rsidRPr="001D5D2A">
              <w:t>150.000</w:t>
            </w:r>
            <w:r w:rsidR="00190483">
              <w:t xml:space="preserve"> </w:t>
            </w:r>
            <w:r w:rsidRPr="001D5D2A">
              <w:t>km</w:t>
            </w:r>
          </w:p>
        </w:tc>
        <w:tc>
          <w:tcPr>
            <w:tcW w:w="2977" w:type="dxa"/>
            <w:shd w:val="clear" w:color="auto" w:fill="E7E6E6" w:themeFill="background2"/>
          </w:tcPr>
          <w:p w:rsidR="00164780" w:rsidRPr="001D5D2A" w:rsidRDefault="00164780" w:rsidP="005A33F1">
            <w:pPr>
              <w:spacing w:line="259" w:lineRule="auto"/>
              <w:jc w:val="center"/>
            </w:pPr>
            <w:r w:rsidRPr="001D5D2A">
              <w:t>129 kg CO2eq/kWh</w:t>
            </w:r>
          </w:p>
        </w:tc>
        <w:tc>
          <w:tcPr>
            <w:tcW w:w="1837" w:type="dxa"/>
            <w:shd w:val="clear" w:color="auto" w:fill="E7E6E6" w:themeFill="background2"/>
          </w:tcPr>
          <w:p w:rsidR="00164780" w:rsidRPr="001D5D2A" w:rsidRDefault="00164780" w:rsidP="005A33F1">
            <w:pPr>
              <w:spacing w:line="259" w:lineRule="auto"/>
              <w:jc w:val="center"/>
            </w:pPr>
            <w:r w:rsidRPr="001D5D2A">
              <w:t>28 kWh</w:t>
            </w:r>
          </w:p>
        </w:tc>
      </w:tr>
    </w:tbl>
    <w:p w:rsidR="004E5A2F" w:rsidRDefault="00164780" w:rsidP="0039775A">
      <w:pPr>
        <w:rPr>
          <w:sz w:val="24"/>
          <w:szCs w:val="24"/>
        </w:rPr>
      </w:pPr>
      <w:r w:rsidRPr="00164780">
        <w:rPr>
          <w:sz w:val="24"/>
          <w:szCs w:val="24"/>
        </w:rPr>
        <w:t xml:space="preserve">Tabelle 2: </w:t>
      </w:r>
      <w:r w:rsidR="001D5D2A">
        <w:rPr>
          <w:sz w:val="24"/>
          <w:szCs w:val="24"/>
        </w:rPr>
        <w:t xml:space="preserve">Weitere </w:t>
      </w:r>
      <w:r w:rsidRPr="00164780">
        <w:rPr>
          <w:sz w:val="24"/>
          <w:szCs w:val="24"/>
        </w:rPr>
        <w:t>Studienergebnisse zur Emission bei der Batterieproduktion</w:t>
      </w:r>
    </w:p>
    <w:p w:rsidR="007F22B6" w:rsidRPr="007F22B6" w:rsidRDefault="007F22B6" w:rsidP="0039775A">
      <w:pPr>
        <w:rPr>
          <w:sz w:val="24"/>
          <w:szCs w:val="24"/>
        </w:rPr>
      </w:pPr>
    </w:p>
    <w:p w:rsidR="00164780" w:rsidRPr="00A22AB8" w:rsidRDefault="00164780" w:rsidP="0039775A">
      <w:pPr>
        <w:rPr>
          <w:b/>
          <w:sz w:val="24"/>
          <w:szCs w:val="24"/>
          <w:u w:val="single"/>
        </w:rPr>
      </w:pPr>
      <w:r w:rsidRPr="00A22AB8">
        <w:rPr>
          <w:b/>
          <w:sz w:val="24"/>
          <w:szCs w:val="24"/>
          <w:u w:val="single"/>
        </w:rPr>
        <w:t xml:space="preserve">Glossar </w:t>
      </w:r>
    </w:p>
    <w:tbl>
      <w:tblPr>
        <w:tblStyle w:val="Tabellenraster"/>
        <w:tblW w:w="0" w:type="auto"/>
        <w:tblLook w:val="04A0" w:firstRow="1" w:lastRow="0" w:firstColumn="1" w:lastColumn="0" w:noHBand="0" w:noVBand="1"/>
      </w:tblPr>
      <w:tblGrid>
        <w:gridCol w:w="2306"/>
        <w:gridCol w:w="6756"/>
      </w:tblGrid>
      <w:tr w:rsidR="00164780" w:rsidRPr="007364BD" w:rsidTr="00164780">
        <w:tc>
          <w:tcPr>
            <w:tcW w:w="2306" w:type="dxa"/>
          </w:tcPr>
          <w:p w:rsidR="00164780" w:rsidRPr="00A63EF9" w:rsidRDefault="00164780" w:rsidP="005A33F1">
            <w:pPr>
              <w:spacing w:line="259" w:lineRule="auto"/>
              <w:rPr>
                <w:b/>
                <w:sz w:val="20"/>
                <w:szCs w:val="20"/>
                <w:lang w:val="pl-PL"/>
              </w:rPr>
            </w:pPr>
            <w:r>
              <w:rPr>
                <w:b/>
                <w:sz w:val="20"/>
                <w:szCs w:val="20"/>
                <w:lang w:val="pl-PL"/>
              </w:rPr>
              <w:t>Studienautoren</w:t>
            </w:r>
          </w:p>
        </w:tc>
        <w:tc>
          <w:tcPr>
            <w:tcW w:w="6756" w:type="dxa"/>
          </w:tcPr>
          <w:p w:rsidR="00164780" w:rsidRPr="007364BD" w:rsidRDefault="00164780" w:rsidP="00164780">
            <w:pPr>
              <w:spacing w:line="259" w:lineRule="auto"/>
              <w:rPr>
                <w:sz w:val="20"/>
                <w:szCs w:val="20"/>
              </w:rPr>
            </w:pPr>
            <w:r>
              <w:rPr>
                <w:sz w:val="20"/>
                <w:szCs w:val="20"/>
              </w:rPr>
              <w:t xml:space="preserve">Die Schreibweise Notter et al. (2010) oder Bauer et al. (2010) beinhaltet den Nachnamen des Erstautors (Notter), den Hinweis, das mehrere Autoren an der Studie beteiligt waren (et al. ist die Abkürzung für </w:t>
            </w:r>
            <w:r w:rsidRPr="00164780">
              <w:rPr>
                <w:sz w:val="20"/>
                <w:szCs w:val="20"/>
              </w:rPr>
              <w:t xml:space="preserve">et </w:t>
            </w:r>
            <w:proofErr w:type="spellStart"/>
            <w:r w:rsidRPr="00164780">
              <w:rPr>
                <w:sz w:val="20"/>
                <w:szCs w:val="20"/>
              </w:rPr>
              <w:t>alia</w:t>
            </w:r>
            <w:proofErr w:type="spellEnd"/>
            <w:r>
              <w:rPr>
                <w:sz w:val="20"/>
                <w:szCs w:val="20"/>
              </w:rPr>
              <w:t xml:space="preserve">, lateinisch für „und andere“) sowie die Jahreszahl der Veröffentlichung. Notter et al. (2010) bedeutet also, dass eine Person mit dem Nachnamen Notter zusammen mit anderen im Jahr 2010 die Studie veröffentlich hat. </w:t>
            </w:r>
          </w:p>
        </w:tc>
      </w:tr>
      <w:tr w:rsidR="00164780" w:rsidRPr="007364BD" w:rsidTr="00164780">
        <w:tc>
          <w:tcPr>
            <w:tcW w:w="2306" w:type="dxa"/>
          </w:tcPr>
          <w:p w:rsidR="00164780" w:rsidRPr="00A63EF9" w:rsidRDefault="00164780" w:rsidP="005A33F1">
            <w:pPr>
              <w:spacing w:line="259" w:lineRule="auto"/>
              <w:rPr>
                <w:b/>
                <w:sz w:val="20"/>
                <w:szCs w:val="20"/>
                <w:lang w:val="pl-PL"/>
              </w:rPr>
            </w:pPr>
            <w:r w:rsidRPr="00A63EF9">
              <w:rPr>
                <w:b/>
                <w:sz w:val="20"/>
                <w:szCs w:val="20"/>
                <w:lang w:val="pl-PL"/>
              </w:rPr>
              <w:t>g CO</w:t>
            </w:r>
            <w:r w:rsidRPr="00A63EF9">
              <w:rPr>
                <w:b/>
                <w:sz w:val="20"/>
                <w:szCs w:val="20"/>
                <w:vertAlign w:val="subscript"/>
                <w:lang w:val="pl-PL"/>
              </w:rPr>
              <w:t>2</w:t>
            </w:r>
            <w:r w:rsidRPr="00A63EF9">
              <w:rPr>
                <w:b/>
                <w:sz w:val="20"/>
                <w:szCs w:val="20"/>
                <w:lang w:val="pl-PL"/>
              </w:rPr>
              <w:t>eq/km bzw. kg CO</w:t>
            </w:r>
            <w:r w:rsidRPr="00A63EF9">
              <w:rPr>
                <w:b/>
                <w:sz w:val="20"/>
                <w:szCs w:val="20"/>
                <w:vertAlign w:val="subscript"/>
                <w:lang w:val="pl-PL"/>
              </w:rPr>
              <w:t>2</w:t>
            </w:r>
            <w:r w:rsidRPr="00A63EF9">
              <w:rPr>
                <w:b/>
                <w:sz w:val="20"/>
                <w:szCs w:val="20"/>
                <w:lang w:val="pl-PL"/>
              </w:rPr>
              <w:t>eq/kWh</w:t>
            </w:r>
          </w:p>
        </w:tc>
        <w:tc>
          <w:tcPr>
            <w:tcW w:w="6756" w:type="dxa"/>
          </w:tcPr>
          <w:p w:rsidR="00164780" w:rsidRPr="007364BD" w:rsidRDefault="00164780" w:rsidP="007F22B6">
            <w:pPr>
              <w:spacing w:line="259" w:lineRule="auto"/>
              <w:rPr>
                <w:sz w:val="20"/>
                <w:szCs w:val="20"/>
              </w:rPr>
            </w:pPr>
            <w:r w:rsidRPr="007364BD">
              <w:rPr>
                <w:sz w:val="20"/>
                <w:szCs w:val="20"/>
              </w:rPr>
              <w:t>Bei der Herstellung von Strom, Batterien und Fahrzeugteilen werden verschiedenste Treibhausgase mit unterschiedlichen Effekten auf den Klimawandel emittiert. Um eine bessere Vergleichbarkeit zu schaffen, werden alle diese Treibhausgase in Kohlenstoffdioxidäquivalente umgerechnet. So entspricht beispielsweise die Erhitzungswirkung von 1g Methan der von 28g CO</w:t>
            </w:r>
            <w:r w:rsidRPr="007364BD">
              <w:rPr>
                <w:sz w:val="20"/>
                <w:szCs w:val="20"/>
                <w:vertAlign w:val="subscript"/>
              </w:rPr>
              <w:t>2</w:t>
            </w:r>
            <w:r w:rsidRPr="007364BD">
              <w:rPr>
                <w:sz w:val="20"/>
                <w:szCs w:val="20"/>
              </w:rPr>
              <w:t>. Die Einheit misst also alle entstehenden Treibhausgase in der Einheit Gramm CO</w:t>
            </w:r>
            <w:r w:rsidRPr="007364BD">
              <w:rPr>
                <w:sz w:val="20"/>
                <w:szCs w:val="20"/>
                <w:vertAlign w:val="subscript"/>
              </w:rPr>
              <w:t>2</w:t>
            </w:r>
            <w:r w:rsidRPr="007364BD">
              <w:rPr>
                <w:sz w:val="20"/>
                <w:szCs w:val="20"/>
              </w:rPr>
              <w:t>-Äquivalente pro gefahrenen Kilometer bzw. in Kilogramm CO</w:t>
            </w:r>
            <w:r w:rsidRPr="007364BD">
              <w:rPr>
                <w:sz w:val="20"/>
                <w:szCs w:val="20"/>
                <w:vertAlign w:val="subscript"/>
              </w:rPr>
              <w:t>2</w:t>
            </w:r>
            <w:r w:rsidRPr="007364BD">
              <w:rPr>
                <w:sz w:val="20"/>
                <w:szCs w:val="20"/>
              </w:rPr>
              <w:t xml:space="preserve">-Äquivalente pro </w:t>
            </w:r>
            <w:r>
              <w:rPr>
                <w:sz w:val="20"/>
                <w:szCs w:val="20"/>
              </w:rPr>
              <w:t>kWh (</w:t>
            </w:r>
            <w:r w:rsidRPr="007364BD">
              <w:rPr>
                <w:sz w:val="20"/>
                <w:szCs w:val="20"/>
              </w:rPr>
              <w:t>Kilowattstunde</w:t>
            </w:r>
            <w:r>
              <w:rPr>
                <w:sz w:val="20"/>
                <w:szCs w:val="20"/>
              </w:rPr>
              <w:t>)</w:t>
            </w:r>
            <w:r w:rsidRPr="007364BD">
              <w:rPr>
                <w:sz w:val="20"/>
                <w:szCs w:val="20"/>
              </w:rPr>
              <w:t xml:space="preserve"> Strom</w:t>
            </w:r>
            <w:r>
              <w:rPr>
                <w:sz w:val="20"/>
                <w:szCs w:val="20"/>
              </w:rPr>
              <w:t>kapazität der Batterie</w:t>
            </w:r>
            <w:r w:rsidRPr="007364BD">
              <w:rPr>
                <w:sz w:val="20"/>
                <w:szCs w:val="20"/>
              </w:rPr>
              <w:t xml:space="preserve">. </w:t>
            </w:r>
            <w:r w:rsidR="007F22B6">
              <w:rPr>
                <w:sz w:val="20"/>
                <w:szCs w:val="20"/>
              </w:rPr>
              <w:t xml:space="preserve">In vielen Artikel wird häufig der Einfachheit halber der trotzdem der Begriff </w:t>
            </w:r>
            <w:r w:rsidR="007F22B6" w:rsidRPr="007364BD">
              <w:rPr>
                <w:sz w:val="20"/>
                <w:szCs w:val="20"/>
              </w:rPr>
              <w:t>CO</w:t>
            </w:r>
            <w:r w:rsidR="007F22B6" w:rsidRPr="007364BD">
              <w:rPr>
                <w:sz w:val="20"/>
                <w:szCs w:val="20"/>
                <w:vertAlign w:val="subscript"/>
              </w:rPr>
              <w:t>2</w:t>
            </w:r>
            <w:r w:rsidR="007F22B6">
              <w:rPr>
                <w:sz w:val="20"/>
                <w:szCs w:val="20"/>
                <w:vertAlign w:val="subscript"/>
              </w:rPr>
              <w:t xml:space="preserve"> </w:t>
            </w:r>
            <w:r w:rsidR="007F22B6">
              <w:rPr>
                <w:sz w:val="20"/>
                <w:szCs w:val="20"/>
              </w:rPr>
              <w:t xml:space="preserve">genutzt, auch wenn damit alle CO2-Äquivalente gemeint sind. </w:t>
            </w:r>
          </w:p>
        </w:tc>
      </w:tr>
      <w:tr w:rsidR="00164780" w:rsidTr="00164780">
        <w:tc>
          <w:tcPr>
            <w:tcW w:w="2306" w:type="dxa"/>
          </w:tcPr>
          <w:p w:rsidR="00164780" w:rsidRDefault="00164780" w:rsidP="005A33F1">
            <w:pPr>
              <w:spacing w:line="259" w:lineRule="auto"/>
              <w:rPr>
                <w:b/>
                <w:sz w:val="20"/>
                <w:szCs w:val="20"/>
                <w:lang w:val="pl-PL"/>
              </w:rPr>
            </w:pPr>
            <w:r w:rsidRPr="00164780">
              <w:rPr>
                <w:b/>
                <w:sz w:val="20"/>
                <w:szCs w:val="20"/>
                <w:lang w:val="pl-PL"/>
              </w:rPr>
              <w:t>Treibhausgasemissionen</w:t>
            </w:r>
          </w:p>
        </w:tc>
        <w:tc>
          <w:tcPr>
            <w:tcW w:w="6756" w:type="dxa"/>
          </w:tcPr>
          <w:p w:rsidR="00164780" w:rsidRDefault="00164780" w:rsidP="00655748">
            <w:pPr>
              <w:spacing w:line="259" w:lineRule="auto"/>
              <w:rPr>
                <w:sz w:val="20"/>
                <w:szCs w:val="20"/>
              </w:rPr>
            </w:pPr>
            <w:r w:rsidRPr="007364BD">
              <w:rPr>
                <w:sz w:val="20"/>
                <w:szCs w:val="20"/>
              </w:rPr>
              <w:t>Hier wird angegeben</w:t>
            </w:r>
            <w:r w:rsidR="00655748">
              <w:rPr>
                <w:sz w:val="20"/>
                <w:szCs w:val="20"/>
              </w:rPr>
              <w:t>,</w:t>
            </w:r>
            <w:r w:rsidRPr="007364BD">
              <w:rPr>
                <w:sz w:val="20"/>
                <w:szCs w:val="20"/>
              </w:rPr>
              <w:t xml:space="preserve"> wie viele Kilo CO</w:t>
            </w:r>
            <w:r w:rsidRPr="007364BD">
              <w:rPr>
                <w:sz w:val="20"/>
                <w:szCs w:val="20"/>
                <w:vertAlign w:val="subscript"/>
              </w:rPr>
              <w:t>2</w:t>
            </w:r>
            <w:r w:rsidRPr="007364BD">
              <w:rPr>
                <w:sz w:val="20"/>
                <w:szCs w:val="20"/>
              </w:rPr>
              <w:t xml:space="preserve">-Äquivalente pro kWh Kapazität der Batterie emittiert werden. Die Daten hier weisen </w:t>
            </w:r>
            <w:r w:rsidR="00655748">
              <w:rPr>
                <w:sz w:val="20"/>
                <w:szCs w:val="20"/>
              </w:rPr>
              <w:t>große Unterschiede</w:t>
            </w:r>
            <w:r w:rsidRPr="007364BD">
              <w:rPr>
                <w:sz w:val="20"/>
                <w:szCs w:val="20"/>
              </w:rPr>
              <w:t xml:space="preserve"> auf, was unter anderem daran liegt, dass die Hersteller diese Angaben als Betriebsgeheimnis betrachten. Viele Studien mit besonders hohen Werten haben dabei Daten zur Grundlage, die vor der Massenfertigung von Batterien erhoben wurden. Durch diese Massenfertigung wurde es möglich</w:t>
            </w:r>
            <w:r w:rsidR="00655748">
              <w:rPr>
                <w:sz w:val="20"/>
                <w:szCs w:val="20"/>
              </w:rPr>
              <w:t>,</w:t>
            </w:r>
            <w:r w:rsidRPr="007364BD">
              <w:rPr>
                <w:sz w:val="20"/>
                <w:szCs w:val="20"/>
              </w:rPr>
              <w:t xml:space="preserve"> Batterien auch mit deutlich weniger Treibhausgasemissionen zu produzieren.</w:t>
            </w:r>
          </w:p>
        </w:tc>
      </w:tr>
      <w:tr w:rsidR="00164780" w:rsidTr="00164780">
        <w:tc>
          <w:tcPr>
            <w:tcW w:w="2306" w:type="dxa"/>
          </w:tcPr>
          <w:p w:rsidR="00164780" w:rsidRPr="00164780" w:rsidRDefault="00164780" w:rsidP="00164780">
            <w:pPr>
              <w:spacing w:line="259" w:lineRule="auto"/>
              <w:rPr>
                <w:b/>
                <w:sz w:val="20"/>
                <w:szCs w:val="20"/>
                <w:lang w:val="pl-PL"/>
              </w:rPr>
            </w:pPr>
            <w:r>
              <w:rPr>
                <w:b/>
                <w:sz w:val="20"/>
                <w:szCs w:val="20"/>
                <w:lang w:val="pl-PL"/>
              </w:rPr>
              <w:t>Batteriekapzizät und Umrechnung</w:t>
            </w:r>
          </w:p>
        </w:tc>
        <w:tc>
          <w:tcPr>
            <w:tcW w:w="6756" w:type="dxa"/>
          </w:tcPr>
          <w:p w:rsidR="00A22AB8" w:rsidRDefault="00164780" w:rsidP="00164780">
            <w:pPr>
              <w:spacing w:line="259" w:lineRule="auto"/>
              <w:rPr>
                <w:sz w:val="20"/>
                <w:szCs w:val="20"/>
              </w:rPr>
            </w:pPr>
            <w:r>
              <w:rPr>
                <w:sz w:val="20"/>
                <w:szCs w:val="20"/>
              </w:rPr>
              <w:t>Die Emissionen bei der Produktion einer B</w:t>
            </w:r>
            <w:r w:rsidR="00655748">
              <w:rPr>
                <w:sz w:val="20"/>
                <w:szCs w:val="20"/>
              </w:rPr>
              <w:t>atterie sind von ihrer Leistung und</w:t>
            </w:r>
            <w:r>
              <w:rPr>
                <w:sz w:val="20"/>
                <w:szCs w:val="20"/>
              </w:rPr>
              <w:t xml:space="preserve"> den Kilowattstunden (kWh) abhängig, die die Speicherkapazität einer Batterie beschreiben. In den Studien des ifo Instituts und der TU Eindhoven werden diese Werte auf jeden gefahrenen </w:t>
            </w:r>
            <w:r w:rsidR="00A22AB8">
              <w:rPr>
                <w:sz w:val="20"/>
                <w:szCs w:val="20"/>
              </w:rPr>
              <w:t xml:space="preserve">Gramm (g) pro </w:t>
            </w:r>
            <w:r>
              <w:rPr>
                <w:sz w:val="20"/>
                <w:szCs w:val="20"/>
              </w:rPr>
              <w:t>Kilometer</w:t>
            </w:r>
            <w:r w:rsidR="00A22AB8">
              <w:rPr>
                <w:sz w:val="20"/>
                <w:szCs w:val="20"/>
              </w:rPr>
              <w:t xml:space="preserve"> (km)</w:t>
            </w:r>
            <w:r>
              <w:rPr>
                <w:sz w:val="20"/>
                <w:szCs w:val="20"/>
              </w:rPr>
              <w:t xml:space="preserve"> umgerechnet</w:t>
            </w:r>
            <w:r w:rsidR="00A22AB8">
              <w:rPr>
                <w:sz w:val="20"/>
                <w:szCs w:val="20"/>
              </w:rPr>
              <w:t>, damit sie mit den Emissionen des Treibstoffs vergleichbar werden. Die Umrechnung erfolgt dabei folgendermaßen:</w:t>
            </w:r>
          </w:p>
          <w:p w:rsidR="00A22AB8" w:rsidRPr="00A22AB8" w:rsidRDefault="004558C6" w:rsidP="00A22AB8">
            <w:pPr>
              <w:spacing w:line="259" w:lineRule="auto"/>
              <w:rPr>
                <w:rFonts w:eastAsiaTheme="minorEastAsia"/>
                <w:sz w:val="20"/>
                <w:szCs w:val="20"/>
              </w:rPr>
            </w:pPr>
            <m:oMathPara>
              <m:oMath>
                <m:d>
                  <m:dPr>
                    <m:ctrlPr>
                      <w:rPr>
                        <w:rFonts w:ascii="Cambria Math" w:hAnsi="Cambria Math"/>
                        <w:sz w:val="20"/>
                        <w:szCs w:val="20"/>
                      </w:rPr>
                    </m:ctrlPr>
                  </m:dPr>
                  <m:e>
                    <m:r>
                      <m:rPr>
                        <m:sty m:val="p"/>
                      </m:rPr>
                      <w:rPr>
                        <w:rFonts w:ascii="Cambria Math" w:hAnsi="Cambria Math"/>
                        <w:sz w:val="20"/>
                        <w:szCs w:val="20"/>
                      </w:rPr>
                      <m:t xml:space="preserve">Treibhausgasemission </m:t>
                    </m:r>
                    <m:d>
                      <m:dPr>
                        <m:ctrlPr>
                          <w:rPr>
                            <w:rFonts w:ascii="Cambria Math" w:hAnsi="Cambria Math"/>
                            <w:sz w:val="20"/>
                            <w:szCs w:val="20"/>
                          </w:rPr>
                        </m:ctrlPr>
                      </m:dPr>
                      <m:e>
                        <m:f>
                          <m:fPr>
                            <m:ctrlPr>
                              <w:rPr>
                                <w:rFonts w:ascii="Cambria Math" w:hAnsi="Cambria Math"/>
                                <w:sz w:val="20"/>
                                <w:szCs w:val="20"/>
                              </w:rPr>
                            </m:ctrlPr>
                          </m:fPr>
                          <m:num>
                            <m:r>
                              <m:rPr>
                                <m:sty m:val="p"/>
                              </m:rPr>
                              <w:rPr>
                                <w:rFonts w:ascii="Cambria Math" w:hAnsi="Cambria Math"/>
                                <w:sz w:val="20"/>
                                <w:szCs w:val="20"/>
                              </w:rPr>
                              <m:t>CO2eq</m:t>
                            </m:r>
                          </m:num>
                          <m:den>
                            <m:r>
                              <m:rPr>
                                <m:sty m:val="p"/>
                              </m:rPr>
                              <w:rPr>
                                <w:rFonts w:ascii="Cambria Math" w:hAnsi="Cambria Math"/>
                                <w:sz w:val="20"/>
                                <w:szCs w:val="20"/>
                              </w:rPr>
                              <m:t>kWh</m:t>
                            </m:r>
                          </m:den>
                        </m:f>
                      </m:e>
                    </m:d>
                    <m:r>
                      <m:rPr>
                        <m:sty m:val="p"/>
                      </m:rPr>
                      <w:rPr>
                        <w:rFonts w:ascii="Cambria Math" w:hAnsi="Cambria Math"/>
                        <w:sz w:val="20"/>
                        <w:szCs w:val="20"/>
                      </w:rPr>
                      <m:t>×Kapazität der Batterie</m:t>
                    </m:r>
                  </m:e>
                </m:d>
                <m:r>
                  <m:rPr>
                    <m:sty m:val="p"/>
                  </m:rPr>
                  <w:rPr>
                    <w:rFonts w:ascii="Cambria Math" w:hAnsi="Cambria Math"/>
                    <w:sz w:val="20"/>
                    <w:szCs w:val="20"/>
                  </w:rPr>
                  <m:t>÷Lebenszyklus der Batterie</m:t>
                </m:r>
              </m:oMath>
            </m:oMathPara>
          </w:p>
          <w:p w:rsidR="00A22AB8" w:rsidRPr="00A22AB8" w:rsidRDefault="004558C6" w:rsidP="00A22AB8">
            <w:pPr>
              <w:spacing w:line="259" w:lineRule="auto"/>
              <w:rPr>
                <w:rFonts w:eastAsiaTheme="minorEastAsia"/>
                <w:sz w:val="20"/>
                <w:szCs w:val="20"/>
              </w:rPr>
            </w:pPr>
            <m:oMathPara>
              <m:oMathParaPr>
                <m:jc m:val="left"/>
              </m:oMathParaPr>
              <m:oMath>
                <m:d>
                  <m:dPr>
                    <m:ctrlPr>
                      <w:rPr>
                        <w:rFonts w:ascii="Cambria Math" w:hAnsi="Cambria Math"/>
                        <w:sz w:val="20"/>
                        <w:szCs w:val="20"/>
                      </w:rPr>
                    </m:ctrlPr>
                  </m:dPr>
                  <m:e>
                    <m:r>
                      <m:rPr>
                        <m:sty m:val="p"/>
                      </m:rPr>
                      <w:rPr>
                        <w:rFonts w:ascii="Cambria Math" w:hAnsi="Cambria Math"/>
                        <w:sz w:val="20"/>
                        <w:szCs w:val="20"/>
                      </w:rPr>
                      <m:t>52,6kg ×34kWh</m:t>
                    </m:r>
                  </m:e>
                </m:d>
                <m:r>
                  <m:rPr>
                    <m:sty m:val="p"/>
                  </m:rPr>
                  <w:rPr>
                    <w:rFonts w:ascii="Cambria Math" w:hAnsi="Cambria Math"/>
                    <w:sz w:val="20"/>
                    <w:szCs w:val="20"/>
                  </w:rPr>
                  <m:t>÷150.000</m:t>
                </m:r>
                <m:d>
                  <m:dPr>
                    <m:ctrlPr>
                      <w:rPr>
                        <w:rFonts w:ascii="Cambria Math" w:hAnsi="Cambria Math"/>
                        <w:sz w:val="20"/>
                        <w:szCs w:val="20"/>
                      </w:rPr>
                    </m:ctrlPr>
                  </m:dPr>
                  <m:e>
                    <m:r>
                      <m:rPr>
                        <m:sty m:val="p"/>
                      </m:rPr>
                      <w:rPr>
                        <w:rFonts w:ascii="Cambria Math" w:hAnsi="Cambria Math"/>
                        <w:sz w:val="20"/>
                        <w:szCs w:val="20"/>
                      </w:rPr>
                      <m:t>km</m:t>
                    </m:r>
                  </m:e>
                </m:d>
                <m:r>
                  <m:rPr>
                    <m:sty m:val="p"/>
                  </m:rPr>
                  <w:rPr>
                    <w:rFonts w:ascii="Cambria Math" w:hAnsi="Cambria Math"/>
                    <w:sz w:val="20"/>
                    <w:szCs w:val="20"/>
                  </w:rPr>
                  <m:t>=0,01192 kg/km</m:t>
                </m:r>
              </m:oMath>
            </m:oMathPara>
          </w:p>
          <w:p w:rsidR="00A22AB8" w:rsidRPr="00A22AB8" w:rsidRDefault="00A22AB8" w:rsidP="00A22AB8">
            <w:pPr>
              <w:spacing w:line="259" w:lineRule="auto"/>
              <w:rPr>
                <w:rFonts w:eastAsiaTheme="minorEastAsia"/>
                <w:sz w:val="20"/>
                <w:szCs w:val="20"/>
              </w:rPr>
            </w:pPr>
            <m:oMathPara>
              <m:oMathParaPr>
                <m:jc m:val="left"/>
              </m:oMathParaPr>
              <m:oMath>
                <m:r>
                  <m:rPr>
                    <m:sty m:val="p"/>
                  </m:rPr>
                  <w:rPr>
                    <w:rFonts w:ascii="Cambria Math" w:hAnsi="Cambria Math" w:cs="Times New Roman"/>
                    <w:sz w:val="18"/>
                    <w:szCs w:val="20"/>
                  </w:rPr>
                  <m:t>0,01192</m:t>
                </m:r>
                <m:f>
                  <m:fPr>
                    <m:ctrlPr>
                      <w:rPr>
                        <w:rFonts w:ascii="Cambria Math" w:hAnsi="Cambria Math" w:cs="Times New Roman"/>
                        <w:sz w:val="18"/>
                        <w:szCs w:val="20"/>
                      </w:rPr>
                    </m:ctrlPr>
                  </m:fPr>
                  <m:num>
                    <m:r>
                      <m:rPr>
                        <m:sty m:val="p"/>
                      </m:rPr>
                      <w:rPr>
                        <w:rFonts w:ascii="Cambria Math" w:hAnsi="Cambria Math" w:cs="Times New Roman"/>
                        <w:sz w:val="18"/>
                        <w:szCs w:val="20"/>
                      </w:rPr>
                      <m:t>kg</m:t>
                    </m:r>
                  </m:num>
                  <m:den>
                    <m:r>
                      <m:rPr>
                        <m:sty m:val="p"/>
                      </m:rPr>
                      <w:rPr>
                        <w:rFonts w:ascii="Cambria Math" w:hAnsi="Cambria Math" w:cs="Times New Roman"/>
                        <w:sz w:val="18"/>
                        <w:szCs w:val="20"/>
                      </w:rPr>
                      <m:t>km</m:t>
                    </m:r>
                  </m:den>
                </m:f>
                <m:r>
                  <m:rPr>
                    <m:sty m:val="p"/>
                  </m:rPr>
                  <w:rPr>
                    <w:rFonts w:ascii="Cambria Math" w:hAnsi="Cambria Math" w:cs="Times New Roman"/>
                    <w:sz w:val="18"/>
                    <w:szCs w:val="20"/>
                  </w:rPr>
                  <m:t>×1.000=</m:t>
                </m:r>
                <m:r>
                  <m:rPr>
                    <m:sty m:val="b"/>
                  </m:rPr>
                  <w:rPr>
                    <w:rFonts w:ascii="Cambria Math" w:hAnsi="Cambria Math" w:cs="Times New Roman"/>
                    <w:sz w:val="18"/>
                    <w:szCs w:val="20"/>
                  </w:rPr>
                  <m:t>11,992</m:t>
                </m:r>
                <m:f>
                  <m:fPr>
                    <m:ctrlPr>
                      <w:rPr>
                        <w:rFonts w:ascii="Cambria Math" w:hAnsi="Cambria Math" w:cs="Times New Roman"/>
                        <w:b/>
                        <w:sz w:val="18"/>
                        <w:szCs w:val="20"/>
                      </w:rPr>
                    </m:ctrlPr>
                  </m:fPr>
                  <m:num>
                    <m:r>
                      <m:rPr>
                        <m:sty m:val="b"/>
                      </m:rPr>
                      <w:rPr>
                        <w:rFonts w:ascii="Cambria Math" w:hAnsi="Cambria Math" w:cs="Times New Roman"/>
                        <w:sz w:val="18"/>
                        <w:szCs w:val="20"/>
                      </w:rPr>
                      <m:t>g</m:t>
                    </m:r>
                  </m:num>
                  <m:den>
                    <m:r>
                      <m:rPr>
                        <m:sty m:val="b"/>
                      </m:rPr>
                      <w:rPr>
                        <w:rFonts w:ascii="Cambria Math" w:hAnsi="Cambria Math" w:cs="Times New Roman"/>
                        <w:sz w:val="18"/>
                        <w:szCs w:val="20"/>
                      </w:rPr>
                      <m:t>km</m:t>
                    </m:r>
                  </m:den>
                </m:f>
                <m:r>
                  <w:rPr>
                    <w:rFonts w:ascii="Cambria Math" w:hAnsi="Cambria Math" w:cs="Times New Roman"/>
                    <w:sz w:val="18"/>
                    <w:szCs w:val="20"/>
                  </w:rPr>
                  <m:t xml:space="preserve"> [1 Kilogramm </m:t>
                </m:r>
                <m:d>
                  <m:dPr>
                    <m:ctrlPr>
                      <w:rPr>
                        <w:rFonts w:ascii="Cambria Math" w:hAnsi="Cambria Math" w:cs="Times New Roman"/>
                        <w:i/>
                        <w:sz w:val="18"/>
                        <w:szCs w:val="20"/>
                      </w:rPr>
                    </m:ctrlPr>
                  </m:dPr>
                  <m:e>
                    <m:r>
                      <w:rPr>
                        <w:rFonts w:ascii="Cambria Math" w:hAnsi="Cambria Math" w:cs="Times New Roman"/>
                        <w:sz w:val="18"/>
                        <w:szCs w:val="20"/>
                      </w:rPr>
                      <m:t>kg</m:t>
                    </m:r>
                  </m:e>
                </m:d>
                <m:r>
                  <w:rPr>
                    <w:rFonts w:ascii="Cambria Math" w:hAnsi="Cambria Math" w:cs="Times New Roman"/>
                    <w:sz w:val="18"/>
                    <w:szCs w:val="20"/>
                  </w:rPr>
                  <m:t xml:space="preserve">=1.000 Gramm </m:t>
                </m:r>
                <m:d>
                  <m:dPr>
                    <m:ctrlPr>
                      <w:rPr>
                        <w:rFonts w:ascii="Cambria Math" w:hAnsi="Cambria Math" w:cs="Times New Roman"/>
                        <w:i/>
                        <w:sz w:val="18"/>
                        <w:szCs w:val="20"/>
                      </w:rPr>
                    </m:ctrlPr>
                  </m:dPr>
                  <m:e>
                    <m:r>
                      <w:rPr>
                        <w:rFonts w:ascii="Cambria Math" w:hAnsi="Cambria Math" w:cs="Times New Roman"/>
                        <w:sz w:val="18"/>
                        <w:szCs w:val="20"/>
                      </w:rPr>
                      <m:t>g</m:t>
                    </m:r>
                  </m:e>
                </m:d>
                <m:r>
                  <w:rPr>
                    <w:rFonts w:ascii="Cambria Math" w:hAnsi="Cambria Math" w:cs="Times New Roman"/>
                    <w:sz w:val="18"/>
                    <w:szCs w:val="20"/>
                  </w:rPr>
                  <m:t>]</m:t>
                </m:r>
              </m:oMath>
            </m:oMathPara>
          </w:p>
        </w:tc>
      </w:tr>
    </w:tbl>
    <w:p w:rsidR="004E5A2F" w:rsidRDefault="004E5A2F" w:rsidP="0039775A"/>
    <w:p w:rsidR="004E5A2F" w:rsidRDefault="004E5A2F" w:rsidP="0039775A">
      <w:pPr>
        <w:rPr>
          <w:sz w:val="24"/>
          <w:u w:val="single"/>
        </w:rPr>
      </w:pPr>
      <w:r w:rsidRPr="004E5A2F">
        <w:rPr>
          <w:sz w:val="24"/>
          <w:u w:val="single"/>
        </w:rPr>
        <w:t>Zusatzaufgabe</w:t>
      </w:r>
    </w:p>
    <w:p w:rsidR="004E5A2F" w:rsidRPr="004E5A2F" w:rsidRDefault="004E5A2F" w:rsidP="004E5A2F">
      <w:pPr>
        <w:pStyle w:val="Listenabsatz"/>
        <w:numPr>
          <w:ilvl w:val="0"/>
          <w:numId w:val="8"/>
        </w:numPr>
        <w:rPr>
          <w:sz w:val="24"/>
        </w:rPr>
      </w:pPr>
      <w:r w:rsidRPr="004E5A2F">
        <w:rPr>
          <w:rFonts w:ascii="Times New Roman" w:hAnsi="Times New Roman" w:cs="Times New Roman"/>
          <w:sz w:val="24"/>
        </w:rPr>
        <w:t>Berechne</w:t>
      </w:r>
      <w:r>
        <w:rPr>
          <w:rFonts w:ascii="Times New Roman" w:hAnsi="Times New Roman" w:cs="Times New Roman"/>
          <w:sz w:val="24"/>
        </w:rPr>
        <w:t xml:space="preserve"> die g/km Emission aller Studien aus Tabelle 2 und vergleiche sie mit den Ergebnissen des ifo </w:t>
      </w:r>
      <w:r w:rsidR="007F22B6">
        <w:rPr>
          <w:rFonts w:ascii="Times New Roman" w:hAnsi="Times New Roman" w:cs="Times New Roman"/>
          <w:sz w:val="24"/>
        </w:rPr>
        <w:t>Instituts</w:t>
      </w:r>
      <w:r>
        <w:rPr>
          <w:rFonts w:ascii="Times New Roman" w:hAnsi="Times New Roman" w:cs="Times New Roman"/>
          <w:sz w:val="24"/>
        </w:rPr>
        <w:t xml:space="preserve"> und der TU Eindhoven </w:t>
      </w:r>
      <w:r w:rsidRPr="004E5A2F">
        <w:rPr>
          <w:rFonts w:ascii="Times New Roman" w:hAnsi="Times New Roman" w:cs="Times New Roman"/>
          <w:sz w:val="24"/>
        </w:rPr>
        <w:t xml:space="preserve"> </w:t>
      </w:r>
    </w:p>
    <w:sectPr w:rsidR="004E5A2F" w:rsidRPr="004E5A2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8C6" w:rsidRDefault="004558C6" w:rsidP="000757EA">
      <w:pPr>
        <w:spacing w:after="0" w:line="240" w:lineRule="auto"/>
      </w:pPr>
      <w:r>
        <w:separator/>
      </w:r>
    </w:p>
  </w:endnote>
  <w:endnote w:type="continuationSeparator" w:id="0">
    <w:p w:rsidR="004558C6" w:rsidRDefault="004558C6"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87" w:rsidRDefault="0010498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87" w:rsidRDefault="0010498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87" w:rsidRDefault="0010498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8C6" w:rsidRDefault="004558C6" w:rsidP="000757EA">
      <w:pPr>
        <w:spacing w:after="0" w:line="240" w:lineRule="auto"/>
      </w:pPr>
      <w:r>
        <w:separator/>
      </w:r>
    </w:p>
  </w:footnote>
  <w:footnote w:type="continuationSeparator" w:id="0">
    <w:p w:rsidR="004558C6" w:rsidRDefault="004558C6" w:rsidP="00075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87" w:rsidRDefault="0010498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75A" w:rsidRDefault="00104987" w:rsidP="000757EA">
    <w:pPr>
      <w:pStyle w:val="Kopfzeile"/>
    </w:pPr>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7377A75D" wp14:editId="505C9ECF">
          <wp:simplePos x="0" y="0"/>
          <wp:positionH relativeFrom="margin">
            <wp:align>right</wp:align>
          </wp:positionH>
          <wp:positionV relativeFrom="paragraph">
            <wp:posOffset>-343535</wp:posOffset>
          </wp:positionV>
          <wp:extent cx="1066800" cy="23780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6800" cy="237808"/>
                  </a:xfrm>
                  <a:prstGeom prst="rect">
                    <a:avLst/>
                  </a:prstGeom>
                </pic:spPr>
              </pic:pic>
            </a:graphicData>
          </a:graphic>
          <wp14:sizeRelH relativeFrom="page">
            <wp14:pctWidth>0</wp14:pctWidth>
          </wp14:sizeRelH>
          <wp14:sizeRelV relativeFrom="page">
            <wp14:pctHeight>0</wp14:pctHeight>
          </wp14:sizeRelV>
        </wp:anchor>
      </w:drawing>
    </w:r>
    <w:r w:rsidR="0039775A">
      <w:rPr>
        <w:rFonts w:cs="Open Sans"/>
        <w:noProof/>
        <w:sz w:val="32"/>
        <w:lang w:eastAsia="de-DE"/>
      </w:rPr>
      <mc:AlternateContent>
        <mc:Choice Requires="wps">
          <w:drawing>
            <wp:anchor distT="0" distB="0" distL="114300" distR="114300" simplePos="0" relativeHeight="251660288" behindDoc="0" locked="0" layoutInCell="1" allowOverlap="1" wp14:anchorId="428F5A12" wp14:editId="107F31DE">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2A20B"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r w:rsidR="0039775A">
      <w:rPr>
        <w:noProof/>
        <w:lang w:eastAsia="de-DE"/>
      </w:rPr>
      <w:drawing>
        <wp:anchor distT="0" distB="0" distL="114300" distR="114300" simplePos="0" relativeHeight="251661312" behindDoc="1" locked="0" layoutInCell="1" allowOverlap="1" wp14:anchorId="2A71A484" wp14:editId="64C11340">
          <wp:simplePos x="0" y="0"/>
          <wp:positionH relativeFrom="column">
            <wp:posOffset>-247840</wp:posOffset>
          </wp:positionH>
          <wp:positionV relativeFrom="paragraph">
            <wp:posOffset>-391548</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0039775A">
      <w:rPr>
        <w:noProof/>
        <w:lang w:eastAsia="de-DE"/>
      </w:rPr>
      <mc:AlternateContent>
        <mc:Choice Requires="wps">
          <w:drawing>
            <wp:anchor distT="0" distB="0" distL="114300" distR="114300" simplePos="0" relativeHeight="251659264" behindDoc="0" locked="0" layoutInCell="1" allowOverlap="1" wp14:anchorId="67E93D10" wp14:editId="79D8747D">
              <wp:simplePos x="0" y="0"/>
              <wp:positionH relativeFrom="margin">
                <wp:posOffset>699770</wp:posOffset>
              </wp:positionH>
              <wp:positionV relativeFrom="paragraph">
                <wp:posOffset>-44623</wp:posOffset>
              </wp:positionV>
              <wp:extent cx="5169824" cy="44132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9824" cy="441325"/>
                      </a:xfrm>
                      <a:prstGeom prst="rect">
                        <a:avLst/>
                      </a:prstGeom>
                      <a:noFill/>
                      <a:ln w="9525">
                        <a:noFill/>
                        <a:miter lim="800000"/>
                        <a:headEnd/>
                        <a:tailEnd/>
                      </a:ln>
                    </wps:spPr>
                    <wps:txbx>
                      <w:txbxContent>
                        <w:p w:rsidR="0039775A" w:rsidRPr="00AF5E4D" w:rsidRDefault="0039775A" w:rsidP="0039775A">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5.3</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67E93D10" id="_x0000_t202" coordsize="21600,21600" o:spt="202" path="m,l,21600r21600,l21600,xe">
              <v:stroke joinstyle="miter"/>
              <v:path gradientshapeok="t" o:connecttype="rect"/>
            </v:shapetype>
            <v:shape id="Textfeld 2" o:spid="_x0000_s1026" type="#_x0000_t202" style="position:absolute;margin-left:55.1pt;margin-top:-3.5pt;width:407.05pt;height:34.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s6DAIAAPQDAAAOAAAAZHJzL2Uyb0RvYy54bWysU9tu2zAMfR+wfxD0vjj2nDYxohRduw4D&#10;ugvQ7gMUWY6FSaImKbG7rx8lp2nQvQ3zgyCa5CHPIbW+Go0mB+mDAstoOZtTIq2AVtkdoz8e794t&#10;KQmR25ZrsJLRJxno1ebtm/XgGllBD7qVniCIDc3gGO1jdE1RBNFLw8MMnLTo7MAbHtH0u6L1fEB0&#10;o4tqPr8oBvCt8yBkCPj3dnLSTcbvOinit64LMhLNKPYW8+nzuU1nsVnzZue565U4tsH/oQvDlcWi&#10;J6hbHjnZe/UXlFHCQ4AuzgSYArpOCZk5IJty/orNQ8+dzFxQnOBOMoX/Byu+Hr57olpGq/KSEssN&#10;DulRjrGTuiVV0mdwocGwB4eBcfwAI845cw3uHsTPQCzc9Nzu5LX3MPSSt9hfmTKLs9QJJySQ7fAF&#10;WizD9xEy0Nh5k8RDOQii45yeTrPBVojAn4vyYrWsakoE+uq6fF8tcgnePGc7H+InCYakC6MeZ5/R&#10;+eE+xNQNb55DUjELd0rrPH9tycDoaoGQrzxGRVxPrQyjy3n6poVJJD/aNidHrvR0xwLaHlknohPl&#10;OG5HDExSbKF9Qv4epjXEZ4OXHvxvSgZcQUbDrz33khL92aKGq7Ku085mo15cVmj4c8/23MOtQChG&#10;IyXT9SbmPZ8YXaPWncoyvHRy7BVXK6tzfAZpd8/tHPXyWDd/AAAA//8DAFBLAwQUAAYACAAAACEA&#10;4NqrH90AAAAJAQAADwAAAGRycy9kb3ducmV2LnhtbEyPy07DMBBF90j8gzVI7Fq7oS00ZFIhEFsQ&#10;5SGxc+NpEhGPo9htwt8zrGB5NUd3zi22k+/UiYbYBkZYzA0o4iq4lmuEt9fH2Q2omCw72wUmhG+K&#10;sC3PzwqbuzDyC512qVZSwjG3CE1Kfa51rBryNs5DTyy3Qxi8TRKHWrvBjlLuO50Zs9betiwfGtvT&#10;fUPV1+7oEd6fDp8fS/NcP/hVP4bJaPYbjXh5Md3dgko0pT8YfvVFHUpx2ocju6g6yQuTCYowu5ZN&#10;Amyy5RWoPcI6W4EuC/1/QfkDAAD//wMAUEsBAi0AFAAGAAgAAAAhALaDOJL+AAAA4QEAABMAAAAA&#10;AAAAAAAAAAAAAAAAAFtDb250ZW50X1R5cGVzXS54bWxQSwECLQAUAAYACAAAACEAOP0h/9YAAACU&#10;AQAACwAAAAAAAAAAAAAAAAAvAQAAX3JlbHMvLnJlbHNQSwECLQAUAAYACAAAACEApcNrOgwCAAD0&#10;AwAADgAAAAAAAAAAAAAAAAAuAgAAZHJzL2Uyb0RvYy54bWxQSwECLQAUAAYACAAAACEA4NqrH90A&#10;AAAJAQAADwAAAAAAAAAAAAAAAABmBAAAZHJzL2Rvd25yZXYueG1sUEsFBgAAAAAEAAQA8wAAAHAF&#10;AAAAAA==&#10;" filled="f" stroked="f">
              <v:textbox>
                <w:txbxContent>
                  <w:p w:rsidR="0039775A" w:rsidRPr="00AF5E4D" w:rsidRDefault="0039775A" w:rsidP="0039775A">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5.3</w:t>
                    </w:r>
                  </w:p>
                </w:txbxContent>
              </v:textbox>
              <w10:wrap anchorx="margin"/>
            </v:shape>
          </w:pict>
        </mc:Fallback>
      </mc:AlternateContent>
    </w:r>
  </w:p>
  <w:p w:rsidR="0039775A" w:rsidRDefault="0039775A">
    <w:pPr>
      <w:pStyle w:val="Kopfzeile"/>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87" w:rsidRDefault="0010498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F4D68"/>
    <w:multiLevelType w:val="hybridMultilevel"/>
    <w:tmpl w:val="BEB0FF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47375"/>
    <w:multiLevelType w:val="hybridMultilevel"/>
    <w:tmpl w:val="BEB0FF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743159A"/>
    <w:multiLevelType w:val="hybridMultilevel"/>
    <w:tmpl w:val="D19014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5"/>
  </w:num>
  <w:num w:numId="5">
    <w:abstractNumId w:val="8"/>
  </w:num>
  <w:num w:numId="6">
    <w:abstractNumId w:val="1"/>
  </w:num>
  <w:num w:numId="7">
    <w:abstractNumId w:val="0"/>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0F2"/>
    <w:rsid w:val="000757EA"/>
    <w:rsid w:val="000F50F2"/>
    <w:rsid w:val="00104987"/>
    <w:rsid w:val="00164780"/>
    <w:rsid w:val="00190483"/>
    <w:rsid w:val="001D5D2A"/>
    <w:rsid w:val="0039775A"/>
    <w:rsid w:val="003E535D"/>
    <w:rsid w:val="004558C6"/>
    <w:rsid w:val="004E5A2F"/>
    <w:rsid w:val="00557D4D"/>
    <w:rsid w:val="00604DCA"/>
    <w:rsid w:val="00655748"/>
    <w:rsid w:val="00763C90"/>
    <w:rsid w:val="007F22B6"/>
    <w:rsid w:val="00846233"/>
    <w:rsid w:val="00903E88"/>
    <w:rsid w:val="00A13C1B"/>
    <w:rsid w:val="00A22AB8"/>
    <w:rsid w:val="00A4235C"/>
    <w:rsid w:val="00A47F2C"/>
    <w:rsid w:val="00A50A59"/>
    <w:rsid w:val="00A720D9"/>
    <w:rsid w:val="00B47A65"/>
    <w:rsid w:val="00D866AF"/>
    <w:rsid w:val="00DB7402"/>
    <w:rsid w:val="00EF6187"/>
    <w:rsid w:val="00F420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Platzhaltertext">
    <w:name w:val="Placeholder Text"/>
    <w:basedOn w:val="Absatz-Standardschriftart"/>
    <w:uiPriority w:val="99"/>
    <w:semiHidden/>
    <w:rsid w:val="00A22AB8"/>
    <w:rPr>
      <w:color w:val="808080"/>
    </w:rPr>
  </w:style>
  <w:style w:type="paragraph" w:styleId="Sprechblasentext">
    <w:name w:val="Balloon Text"/>
    <w:basedOn w:val="Standard"/>
    <w:link w:val="SprechblasentextZchn"/>
    <w:uiPriority w:val="99"/>
    <w:semiHidden/>
    <w:unhideWhenUsed/>
    <w:rsid w:val="00A22AB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22A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75B30-7AF9-4968-9FA1-AB8753EFF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918</Words>
  <Characters>5787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cp:lastModifiedBy>
  <cp:revision>16</cp:revision>
  <dcterms:created xsi:type="dcterms:W3CDTF">2022-02-01T10:55:00Z</dcterms:created>
  <dcterms:modified xsi:type="dcterms:W3CDTF">2023-10-15T15:30:00Z</dcterms:modified>
</cp:coreProperties>
</file>