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C4A78" w:rsidRPr="000C47E6" w:rsidRDefault="001A43ED" w:rsidP="006C4A78">
      <w:pPr>
        <w:spacing w:line="259" w:lineRule="auto"/>
        <w:rPr>
          <w:b/>
          <w:sz w:val="24"/>
          <w:szCs w:val="24"/>
        </w:rPr>
      </w:pPr>
      <w:bookmarkStart w:id="0" w:name="_GoBack"/>
      <w:r w:rsidRPr="00F20F37">
        <w:rPr>
          <w:rFonts w:eastAsia="Calibri" w:cs="Times New Roman"/>
          <w:noProof/>
          <w:color w:val="FF0000"/>
          <w:lang w:eastAsia="de-DE"/>
        </w:rPr>
        <w:drawing>
          <wp:anchor distT="0" distB="0" distL="114300" distR="114300" simplePos="0" relativeHeight="251659264" behindDoc="0" locked="0" layoutInCell="1" allowOverlap="1" wp14:anchorId="1517E2F8" wp14:editId="506B0342">
            <wp:simplePos x="0" y="0"/>
            <wp:positionH relativeFrom="margin">
              <wp:align>right</wp:align>
            </wp:positionH>
            <wp:positionV relativeFrom="paragraph">
              <wp:posOffset>-762000</wp:posOffset>
            </wp:positionV>
            <wp:extent cx="1066800" cy="237808"/>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Grafik 19"/>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66800" cy="237808"/>
                    </a:xfrm>
                    <a:prstGeom prst="rect">
                      <a:avLst/>
                    </a:prstGeom>
                  </pic:spPr>
                </pic:pic>
              </a:graphicData>
            </a:graphic>
            <wp14:sizeRelH relativeFrom="page">
              <wp14:pctWidth>0</wp14:pctWidth>
            </wp14:sizeRelH>
            <wp14:sizeRelV relativeFrom="page">
              <wp14:pctHeight>0</wp14:pctHeight>
            </wp14:sizeRelV>
          </wp:anchor>
        </w:drawing>
      </w:r>
      <w:bookmarkEnd w:id="0"/>
      <w:r w:rsidR="006C4A78" w:rsidRPr="000C47E6">
        <w:rPr>
          <w:b/>
          <w:sz w:val="24"/>
          <w:szCs w:val="24"/>
        </w:rPr>
        <w:t xml:space="preserve">Gruppe 2 – Die Auswahl und Berechnung des </w:t>
      </w:r>
      <w:proofErr w:type="spellStart"/>
      <w:r w:rsidR="006C4A78" w:rsidRPr="000C47E6">
        <w:rPr>
          <w:b/>
          <w:sz w:val="24"/>
          <w:szCs w:val="24"/>
        </w:rPr>
        <w:t>Strommix</w:t>
      </w:r>
      <w:proofErr w:type="spellEnd"/>
    </w:p>
    <w:p w:rsidR="006D18EC" w:rsidRPr="000C47E6" w:rsidRDefault="006C4A78" w:rsidP="006C4A78">
      <w:pPr>
        <w:spacing w:line="259" w:lineRule="auto"/>
        <w:jc w:val="both"/>
        <w:rPr>
          <w:sz w:val="24"/>
          <w:szCs w:val="24"/>
        </w:rPr>
      </w:pPr>
      <w:r w:rsidRPr="000C47E6">
        <w:rPr>
          <w:sz w:val="24"/>
          <w:szCs w:val="24"/>
        </w:rPr>
        <w:t xml:space="preserve">Der </w:t>
      </w:r>
      <w:proofErr w:type="spellStart"/>
      <w:r w:rsidRPr="000C47E6">
        <w:rPr>
          <w:sz w:val="24"/>
          <w:szCs w:val="24"/>
        </w:rPr>
        <w:t>Strommix</w:t>
      </w:r>
      <w:proofErr w:type="spellEnd"/>
      <w:r w:rsidRPr="000C47E6">
        <w:rPr>
          <w:sz w:val="24"/>
          <w:szCs w:val="24"/>
        </w:rPr>
        <w:t xml:space="preserve"> bezeichnet die durchschnittliche Zusammensetzung des Stroms eines </w:t>
      </w:r>
      <w:r w:rsidR="00C812DC">
        <w:rPr>
          <w:sz w:val="24"/>
          <w:szCs w:val="24"/>
        </w:rPr>
        <w:t>Landes</w:t>
      </w:r>
      <w:r w:rsidRPr="000C47E6">
        <w:rPr>
          <w:sz w:val="24"/>
          <w:szCs w:val="24"/>
        </w:rPr>
        <w:t xml:space="preserve"> hinsichtlich der fossilen Energieträger wie beispielsweise Kohle, Gas oder Kernenergie und der erneuerbaren Energieträger wie Wind und Solar. Dieser wird für </w:t>
      </w:r>
      <w:r w:rsidR="00C812DC">
        <w:rPr>
          <w:sz w:val="24"/>
          <w:szCs w:val="24"/>
        </w:rPr>
        <w:t>unterschiedliche</w:t>
      </w:r>
      <w:r w:rsidRPr="000C47E6">
        <w:rPr>
          <w:sz w:val="24"/>
          <w:szCs w:val="24"/>
        </w:rPr>
        <w:t xml:space="preserve"> Länder ermittelt und angegeben. Weiterhin gibt es auch einen europäischen Durchschnittsstrommix. Der deutsche </w:t>
      </w:r>
      <w:proofErr w:type="spellStart"/>
      <w:r w:rsidRPr="000C47E6">
        <w:rPr>
          <w:sz w:val="24"/>
          <w:szCs w:val="24"/>
        </w:rPr>
        <w:t>Strommix</w:t>
      </w:r>
      <w:proofErr w:type="spellEnd"/>
      <w:r w:rsidRPr="000C47E6">
        <w:rPr>
          <w:sz w:val="24"/>
          <w:szCs w:val="24"/>
        </w:rPr>
        <w:t xml:space="preserve"> sticht dabei, aufgrund seines hohen Braunkohleanteils, mit deutlich höheren CO</w:t>
      </w:r>
      <w:r w:rsidRPr="000C47E6">
        <w:rPr>
          <w:sz w:val="24"/>
          <w:szCs w:val="24"/>
          <w:vertAlign w:val="subscript"/>
        </w:rPr>
        <w:t>2</w:t>
      </w:r>
      <w:r w:rsidRPr="000C47E6">
        <w:rPr>
          <w:sz w:val="24"/>
          <w:szCs w:val="24"/>
        </w:rPr>
        <w:t xml:space="preserve">-Emissionen </w:t>
      </w:r>
      <w:r w:rsidR="00434446">
        <w:rPr>
          <w:sz w:val="24"/>
          <w:szCs w:val="24"/>
        </w:rPr>
        <w:t>gegenüber anderen Ländern</w:t>
      </w:r>
      <w:r w:rsidRPr="000C47E6">
        <w:rPr>
          <w:sz w:val="24"/>
          <w:szCs w:val="24"/>
        </w:rPr>
        <w:t xml:space="preserve"> in der EU</w:t>
      </w:r>
      <w:r w:rsidR="00C812DC">
        <w:rPr>
          <w:sz w:val="24"/>
          <w:szCs w:val="24"/>
        </w:rPr>
        <w:t>,</w:t>
      </w:r>
      <w:r w:rsidR="00434446">
        <w:rPr>
          <w:sz w:val="24"/>
          <w:szCs w:val="24"/>
        </w:rPr>
        <w:t xml:space="preserve"> heraus</w:t>
      </w:r>
      <w:r w:rsidRPr="000C47E6">
        <w:rPr>
          <w:sz w:val="24"/>
          <w:szCs w:val="24"/>
        </w:rPr>
        <w:t xml:space="preserve">. </w:t>
      </w:r>
      <w:r w:rsidRPr="000C47E6">
        <w:rPr>
          <w:sz w:val="24"/>
          <w:szCs w:val="24"/>
        </w:rPr>
        <w:tab/>
      </w:r>
    </w:p>
    <w:p w:rsidR="006C4A78" w:rsidRDefault="006C4A78" w:rsidP="006C4A78">
      <w:pPr>
        <w:spacing w:line="259" w:lineRule="auto"/>
        <w:jc w:val="both"/>
      </w:pPr>
      <w:r>
        <w:rPr>
          <w:noProof/>
          <w:lang w:eastAsia="de-DE"/>
        </w:rPr>
        <w:drawing>
          <wp:inline distT="0" distB="0" distL="0" distR="0" wp14:anchorId="76CDF61B" wp14:editId="56675C73">
            <wp:extent cx="5753100" cy="4829175"/>
            <wp:effectExtent l="0" t="0" r="0" b="9525"/>
            <wp:docPr id="12" name="Diagramm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D18EC" w:rsidRPr="000C47E6" w:rsidRDefault="006C4A78" w:rsidP="006C4A78">
      <w:pPr>
        <w:spacing w:line="259" w:lineRule="auto"/>
        <w:jc w:val="both"/>
      </w:pPr>
      <w:r w:rsidRPr="0016584F">
        <w:rPr>
          <w:b/>
        </w:rPr>
        <w:t>Statistik 1</w:t>
      </w:r>
      <w:r>
        <w:t xml:space="preserve">: </w:t>
      </w:r>
      <w:r w:rsidRPr="000C47E6">
        <w:t>CO2 Emissionen in Gramm (g) per Kilowattstunde (k</w:t>
      </w:r>
      <w:r>
        <w:t>Wh), Stand 2018 (Quelle EEA)</w:t>
      </w:r>
    </w:p>
    <w:p w:rsidR="006D18EC" w:rsidRDefault="006C4A78" w:rsidP="006C4A78">
      <w:pPr>
        <w:spacing w:line="259" w:lineRule="auto"/>
        <w:jc w:val="both"/>
        <w:rPr>
          <w:sz w:val="24"/>
          <w:szCs w:val="24"/>
        </w:rPr>
      </w:pPr>
      <w:r w:rsidRPr="000C47E6">
        <w:rPr>
          <w:sz w:val="24"/>
          <w:szCs w:val="24"/>
        </w:rPr>
        <w:t xml:space="preserve">In der Studie des ifo Instituts wird eine eigene Berechnung des deutschen </w:t>
      </w:r>
      <w:proofErr w:type="spellStart"/>
      <w:r w:rsidRPr="000C47E6">
        <w:rPr>
          <w:sz w:val="24"/>
          <w:szCs w:val="24"/>
        </w:rPr>
        <w:t>Strommix</w:t>
      </w:r>
      <w:proofErr w:type="spellEnd"/>
      <w:r w:rsidRPr="000C47E6">
        <w:rPr>
          <w:sz w:val="24"/>
          <w:szCs w:val="24"/>
        </w:rPr>
        <w:t xml:space="preserve"> von 2018 gewählt, die auf eine durchschnittliche Emission von 550g/kWh CO2 kommt. Die Autoren rechnen hierbei weniger Strom aus erneuerbaren Energien ein, da dieser durch Produktionsschwankungen und Exporte nicht gleichmäßig an der Steckdose des Verbrauchers ankommt. Ihr Wert unterscheidet sich daher von anderen Berechnungen für das Jahr 2018, wie beispielsweise die der Europäische Umweltagentur (EEA). </w:t>
      </w:r>
      <w:proofErr w:type="gramStart"/>
      <w:r w:rsidRPr="000C47E6">
        <w:rPr>
          <w:sz w:val="24"/>
          <w:szCs w:val="24"/>
        </w:rPr>
        <w:t>Den</w:t>
      </w:r>
      <w:proofErr w:type="gramEnd"/>
      <w:r w:rsidRPr="000C47E6">
        <w:rPr>
          <w:sz w:val="24"/>
          <w:szCs w:val="24"/>
        </w:rPr>
        <w:t xml:space="preserve"> so gewonnen Emissionswert nutzen die Autoren als Ausgangspunkt, um die Emission </w:t>
      </w:r>
      <w:r w:rsidR="00D21628">
        <w:rPr>
          <w:sz w:val="24"/>
          <w:szCs w:val="24"/>
        </w:rPr>
        <w:t>des Elektroautos</w:t>
      </w:r>
      <w:r w:rsidRPr="000C47E6">
        <w:rPr>
          <w:sz w:val="24"/>
          <w:szCs w:val="24"/>
        </w:rPr>
        <w:t xml:space="preserve"> für die in den nächsten Jahren gefahrenen 300.000 Kilometer zu berechnen.  </w:t>
      </w:r>
    </w:p>
    <w:p w:rsidR="006D18EC" w:rsidRDefault="006D18EC" w:rsidP="006C4A78">
      <w:pPr>
        <w:spacing w:line="259" w:lineRule="auto"/>
        <w:jc w:val="both"/>
        <w:rPr>
          <w:sz w:val="24"/>
          <w:szCs w:val="24"/>
        </w:rPr>
      </w:pPr>
    </w:p>
    <w:p w:rsidR="006D18EC" w:rsidRPr="000C47E6" w:rsidRDefault="006D18EC" w:rsidP="006C4A78">
      <w:pPr>
        <w:spacing w:line="259" w:lineRule="auto"/>
        <w:jc w:val="both"/>
        <w:rPr>
          <w:sz w:val="24"/>
          <w:szCs w:val="24"/>
        </w:rPr>
      </w:pPr>
    </w:p>
    <w:p w:rsidR="006D18EC" w:rsidRDefault="006C4A78" w:rsidP="006C4A78">
      <w:pPr>
        <w:spacing w:line="259" w:lineRule="auto"/>
        <w:jc w:val="both"/>
        <w:rPr>
          <w:sz w:val="24"/>
          <w:szCs w:val="24"/>
        </w:rPr>
      </w:pPr>
      <w:r w:rsidRPr="000C47E6">
        <w:rPr>
          <w:sz w:val="24"/>
          <w:szCs w:val="24"/>
        </w:rPr>
        <w:lastRenderedPageBreak/>
        <w:t>Die</w:t>
      </w:r>
      <w:r>
        <w:rPr>
          <w:sz w:val="24"/>
          <w:szCs w:val="24"/>
        </w:rPr>
        <w:t xml:space="preserve"> Studie der TU Eindhoven verfolgt einen anderen Ansatz.</w:t>
      </w:r>
      <w:r w:rsidRPr="000C47E6">
        <w:rPr>
          <w:sz w:val="24"/>
          <w:szCs w:val="24"/>
        </w:rPr>
        <w:t xml:space="preserve"> Sie </w:t>
      </w:r>
      <w:r w:rsidR="00EE7B11">
        <w:rPr>
          <w:sz w:val="24"/>
          <w:szCs w:val="24"/>
        </w:rPr>
        <w:t>gehen davon aus</w:t>
      </w:r>
      <w:r w:rsidRPr="000C47E6">
        <w:rPr>
          <w:sz w:val="24"/>
          <w:szCs w:val="24"/>
        </w:rPr>
        <w:t xml:space="preserve">, dass </w:t>
      </w:r>
      <w:r>
        <w:rPr>
          <w:sz w:val="24"/>
          <w:szCs w:val="24"/>
        </w:rPr>
        <w:t>die Verwendung des</w:t>
      </w:r>
      <w:r w:rsidRPr="000C47E6">
        <w:rPr>
          <w:sz w:val="24"/>
          <w:szCs w:val="24"/>
        </w:rPr>
        <w:t xml:space="preserve"> tatsächlichen aktuellen Energiemix Elektroautos künstlich klimaschädlich rechnen würde. Sie weisen darauf hin, dass die Emissionen pro Kilowattstunde in den letzten Jahren kontinuierlich beinahe linear gesunken sind</w:t>
      </w:r>
      <w:r w:rsidR="006D18EC">
        <w:rPr>
          <w:sz w:val="24"/>
          <w:szCs w:val="24"/>
        </w:rPr>
        <w:t xml:space="preserve"> (vgl. Statistik 2)</w:t>
      </w:r>
      <w:r w:rsidRPr="000C47E6">
        <w:rPr>
          <w:sz w:val="24"/>
          <w:szCs w:val="24"/>
        </w:rPr>
        <w:t xml:space="preserve">. </w:t>
      </w:r>
    </w:p>
    <w:p w:rsidR="006D18EC" w:rsidRDefault="006D18EC" w:rsidP="006D18EC">
      <w:pPr>
        <w:spacing w:line="259" w:lineRule="auto"/>
        <w:jc w:val="both"/>
        <w:rPr>
          <w:sz w:val="24"/>
          <w:szCs w:val="24"/>
        </w:rPr>
      </w:pPr>
      <w:r>
        <w:rPr>
          <w:noProof/>
          <w:sz w:val="24"/>
          <w:szCs w:val="24"/>
          <w:lang w:eastAsia="de-DE"/>
        </w:rPr>
        <w:drawing>
          <wp:inline distT="0" distB="0" distL="0" distR="0" wp14:anchorId="7C6A87C9" wp14:editId="1DE832EA">
            <wp:extent cx="5695950" cy="3314700"/>
            <wp:effectExtent l="0" t="0" r="0" b="0"/>
            <wp:docPr id="15" name="Diagramm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D18EC" w:rsidRPr="006D18EC" w:rsidRDefault="006D18EC" w:rsidP="006C4A78">
      <w:pPr>
        <w:spacing w:line="259" w:lineRule="auto"/>
        <w:jc w:val="both"/>
      </w:pPr>
      <w:r w:rsidRPr="0016584F">
        <w:rPr>
          <w:b/>
        </w:rPr>
        <w:t xml:space="preserve">Statistik </w:t>
      </w:r>
      <w:r>
        <w:rPr>
          <w:b/>
        </w:rPr>
        <w:t>2</w:t>
      </w:r>
      <w:r>
        <w:t xml:space="preserve">: </w:t>
      </w:r>
      <w:r w:rsidRPr="000C47E6">
        <w:t>CO2 Emissionen in Gramm (g) per Kilowattstunde (k</w:t>
      </w:r>
      <w:r>
        <w:t>Wh), 2006-2019 (Quelle EEA)</w:t>
      </w:r>
    </w:p>
    <w:p w:rsidR="006C4A78" w:rsidRPr="000C47E6" w:rsidRDefault="00EE7B11" w:rsidP="006C4A78">
      <w:pPr>
        <w:spacing w:line="259" w:lineRule="auto"/>
        <w:jc w:val="both"/>
        <w:rPr>
          <w:sz w:val="24"/>
          <w:szCs w:val="24"/>
        </w:rPr>
      </w:pPr>
      <w:r>
        <w:rPr>
          <w:sz w:val="24"/>
          <w:szCs w:val="24"/>
        </w:rPr>
        <w:t>Die Autoren der TU Eindhoven nehmen daher an</w:t>
      </w:r>
      <w:r w:rsidR="006C4A78" w:rsidRPr="000C47E6">
        <w:rPr>
          <w:sz w:val="24"/>
          <w:szCs w:val="24"/>
        </w:rPr>
        <w:t xml:space="preserve">, dass ein heute gebautes Auto in den nächsten 20 Jahren </w:t>
      </w:r>
      <w:r>
        <w:rPr>
          <w:sz w:val="24"/>
          <w:szCs w:val="24"/>
        </w:rPr>
        <w:t>weniger Emissionen verursacht</w:t>
      </w:r>
      <w:r w:rsidR="006C4A78" w:rsidRPr="000C47E6">
        <w:rPr>
          <w:sz w:val="24"/>
          <w:szCs w:val="24"/>
        </w:rPr>
        <w:t xml:space="preserve">, </w:t>
      </w:r>
      <w:r w:rsidR="006D18EC">
        <w:rPr>
          <w:sz w:val="24"/>
          <w:szCs w:val="24"/>
        </w:rPr>
        <w:t>da der Strom den es verbraucht immer klimafreundlicher wird</w:t>
      </w:r>
      <w:r w:rsidR="006C4A78" w:rsidRPr="000C47E6">
        <w:rPr>
          <w:sz w:val="24"/>
          <w:szCs w:val="24"/>
        </w:rPr>
        <w:t xml:space="preserve">. </w:t>
      </w:r>
      <w:r w:rsidR="006D18EC" w:rsidRPr="000C47E6">
        <w:rPr>
          <w:sz w:val="24"/>
          <w:szCs w:val="24"/>
        </w:rPr>
        <w:t>Sie bestimmen mittels einer linearen Regression einen Verlauf der Emissionen bei der Stromproduktion für die nächsten zwanzig Jahre und setzen diesen bei Elektroautos an. Die Ergebnisse der Emissionen des Tesla Model 3 pro Kilometer zeigen sich wie folgt:</w:t>
      </w:r>
    </w:p>
    <w:tbl>
      <w:tblPr>
        <w:tblStyle w:val="Tabellenraster"/>
        <w:tblW w:w="0" w:type="auto"/>
        <w:tblLook w:val="04A0" w:firstRow="1" w:lastRow="0" w:firstColumn="1" w:lastColumn="0" w:noHBand="0" w:noVBand="1"/>
      </w:tblPr>
      <w:tblGrid>
        <w:gridCol w:w="2265"/>
        <w:gridCol w:w="3117"/>
        <w:gridCol w:w="3678"/>
      </w:tblGrid>
      <w:tr w:rsidR="006D18EC" w:rsidTr="006D18EC">
        <w:tc>
          <w:tcPr>
            <w:tcW w:w="2265" w:type="dxa"/>
            <w:shd w:val="clear" w:color="auto" w:fill="0070C0"/>
          </w:tcPr>
          <w:p w:rsidR="006D18EC" w:rsidRPr="0041062B" w:rsidRDefault="006D18EC" w:rsidP="005A33F1">
            <w:pPr>
              <w:spacing w:line="259" w:lineRule="auto"/>
              <w:jc w:val="both"/>
              <w:rPr>
                <w:color w:val="FFFFFF" w:themeColor="background1"/>
              </w:rPr>
            </w:pPr>
            <w:r w:rsidRPr="0041062B">
              <w:rPr>
                <w:color w:val="FFFFFF" w:themeColor="background1"/>
              </w:rPr>
              <w:t>Studie (</w:t>
            </w:r>
            <w:proofErr w:type="spellStart"/>
            <w:r w:rsidRPr="0041062B">
              <w:rPr>
                <w:color w:val="FFFFFF" w:themeColor="background1"/>
              </w:rPr>
              <w:t>Strommix</w:t>
            </w:r>
            <w:proofErr w:type="spellEnd"/>
            <w:r w:rsidRPr="0041062B">
              <w:rPr>
                <w:color w:val="FFFFFF" w:themeColor="background1"/>
              </w:rPr>
              <w:t>)</w:t>
            </w:r>
          </w:p>
        </w:tc>
        <w:tc>
          <w:tcPr>
            <w:tcW w:w="3117" w:type="dxa"/>
            <w:shd w:val="clear" w:color="auto" w:fill="0070C0"/>
          </w:tcPr>
          <w:p w:rsidR="006D18EC" w:rsidRPr="0041062B" w:rsidRDefault="006D18EC" w:rsidP="006D18EC">
            <w:pPr>
              <w:spacing w:line="259" w:lineRule="auto"/>
              <w:jc w:val="center"/>
              <w:rPr>
                <w:color w:val="FFFFFF" w:themeColor="background1"/>
              </w:rPr>
            </w:pPr>
            <w:r>
              <w:rPr>
                <w:color w:val="FFFFFF" w:themeColor="background1"/>
              </w:rPr>
              <w:t>Ifo Institut</w:t>
            </w:r>
          </w:p>
        </w:tc>
        <w:tc>
          <w:tcPr>
            <w:tcW w:w="3678" w:type="dxa"/>
            <w:shd w:val="clear" w:color="auto" w:fill="0070C0"/>
          </w:tcPr>
          <w:p w:rsidR="006D18EC" w:rsidRPr="0041062B" w:rsidRDefault="006D18EC" w:rsidP="006D18EC">
            <w:pPr>
              <w:spacing w:line="259" w:lineRule="auto"/>
              <w:jc w:val="center"/>
              <w:rPr>
                <w:color w:val="FFFFFF" w:themeColor="background1"/>
              </w:rPr>
            </w:pPr>
            <w:r>
              <w:rPr>
                <w:color w:val="FFFFFF" w:themeColor="background1"/>
              </w:rPr>
              <w:t>TU Eindhoven</w:t>
            </w:r>
          </w:p>
        </w:tc>
      </w:tr>
      <w:tr w:rsidR="006D18EC" w:rsidTr="006D18EC">
        <w:tc>
          <w:tcPr>
            <w:tcW w:w="2265" w:type="dxa"/>
            <w:shd w:val="clear" w:color="auto" w:fill="0070C0"/>
          </w:tcPr>
          <w:p w:rsidR="006D18EC" w:rsidRDefault="006D18EC" w:rsidP="005A33F1">
            <w:pPr>
              <w:spacing w:line="259" w:lineRule="auto"/>
              <w:jc w:val="both"/>
            </w:pPr>
            <w:r w:rsidRPr="0041062B">
              <w:rPr>
                <w:color w:val="FFFFFF" w:themeColor="background1"/>
              </w:rPr>
              <w:t>Emissionen/km</w:t>
            </w:r>
          </w:p>
        </w:tc>
        <w:tc>
          <w:tcPr>
            <w:tcW w:w="3117" w:type="dxa"/>
            <w:shd w:val="clear" w:color="auto" w:fill="E7E6E6" w:themeFill="background2"/>
          </w:tcPr>
          <w:p w:rsidR="006D18EC" w:rsidRDefault="008B689D" w:rsidP="002C2AB2">
            <w:pPr>
              <w:spacing w:line="259" w:lineRule="auto"/>
              <w:jc w:val="center"/>
            </w:pPr>
            <w:r>
              <w:t xml:space="preserve">83 g </w:t>
            </w:r>
            <w:r w:rsidR="006D18EC">
              <w:t>CO</w:t>
            </w:r>
            <w:r w:rsidR="006D18EC">
              <w:rPr>
                <w:vertAlign w:val="subscript"/>
              </w:rPr>
              <w:t>2</w:t>
            </w:r>
            <w:r w:rsidR="006D18EC">
              <w:t>/km</w:t>
            </w:r>
          </w:p>
        </w:tc>
        <w:tc>
          <w:tcPr>
            <w:tcW w:w="3678" w:type="dxa"/>
            <w:shd w:val="clear" w:color="auto" w:fill="E7E6E6" w:themeFill="background2"/>
          </w:tcPr>
          <w:p w:rsidR="006D18EC" w:rsidRDefault="006D18EC" w:rsidP="002C2AB2">
            <w:pPr>
              <w:spacing w:line="259" w:lineRule="auto"/>
              <w:jc w:val="center"/>
            </w:pPr>
            <w:r>
              <w:t>40</w:t>
            </w:r>
            <w:r w:rsidR="008B689D">
              <w:t xml:space="preserve"> g </w:t>
            </w:r>
            <w:r>
              <w:t>CO</w:t>
            </w:r>
            <w:r>
              <w:rPr>
                <w:vertAlign w:val="subscript"/>
              </w:rPr>
              <w:t>2</w:t>
            </w:r>
            <w:r>
              <w:t>/km</w:t>
            </w:r>
          </w:p>
        </w:tc>
      </w:tr>
    </w:tbl>
    <w:p w:rsidR="006C4A78" w:rsidRDefault="006C4A78" w:rsidP="006C4A78">
      <w:pPr>
        <w:spacing w:line="259" w:lineRule="auto"/>
        <w:jc w:val="both"/>
      </w:pPr>
    </w:p>
    <w:p w:rsidR="006D18EC" w:rsidRPr="00A22311" w:rsidRDefault="006D18EC" w:rsidP="006D18EC">
      <w:pPr>
        <w:spacing w:line="259" w:lineRule="auto"/>
        <w:jc w:val="both"/>
        <w:rPr>
          <w:rFonts w:cs="Times New Roman"/>
          <w:b/>
          <w:sz w:val="24"/>
          <w:szCs w:val="24"/>
        </w:rPr>
      </w:pPr>
      <w:r w:rsidRPr="00A22311">
        <w:rPr>
          <w:rFonts w:cs="Times New Roman"/>
          <w:b/>
          <w:sz w:val="24"/>
          <w:szCs w:val="24"/>
        </w:rPr>
        <w:t>Arbeitsaufträge:</w:t>
      </w:r>
    </w:p>
    <w:p w:rsidR="006D18EC" w:rsidRPr="00A22311" w:rsidRDefault="006D18EC" w:rsidP="006D18EC">
      <w:pPr>
        <w:pStyle w:val="Listenabsatz"/>
        <w:numPr>
          <w:ilvl w:val="0"/>
          <w:numId w:val="8"/>
        </w:numPr>
        <w:jc w:val="both"/>
        <w:rPr>
          <w:rFonts w:ascii="Times New Roman" w:hAnsi="Times New Roman" w:cs="Times New Roman"/>
          <w:sz w:val="24"/>
          <w:szCs w:val="24"/>
        </w:rPr>
      </w:pPr>
      <w:r w:rsidRPr="00A22311">
        <w:rPr>
          <w:rFonts w:ascii="Times New Roman" w:hAnsi="Times New Roman" w:cs="Times New Roman"/>
          <w:sz w:val="24"/>
          <w:szCs w:val="24"/>
        </w:rPr>
        <w:t xml:space="preserve">Erläutere die Bedeutung der </w:t>
      </w:r>
      <w:r>
        <w:rPr>
          <w:rFonts w:ascii="Times New Roman" w:hAnsi="Times New Roman" w:cs="Times New Roman"/>
          <w:sz w:val="24"/>
          <w:szCs w:val="24"/>
        </w:rPr>
        <w:t xml:space="preserve">Berechnung des </w:t>
      </w:r>
      <w:proofErr w:type="spellStart"/>
      <w:r>
        <w:rPr>
          <w:rFonts w:ascii="Times New Roman" w:hAnsi="Times New Roman" w:cs="Times New Roman"/>
          <w:sz w:val="24"/>
          <w:szCs w:val="24"/>
        </w:rPr>
        <w:t>Strommix</w:t>
      </w:r>
      <w:proofErr w:type="spellEnd"/>
      <w:r w:rsidRPr="00A22311">
        <w:rPr>
          <w:rFonts w:ascii="Times New Roman" w:hAnsi="Times New Roman" w:cs="Times New Roman"/>
          <w:sz w:val="24"/>
          <w:szCs w:val="24"/>
        </w:rPr>
        <w:t xml:space="preserve"> für die Datenlage der Studie</w:t>
      </w:r>
    </w:p>
    <w:p w:rsidR="006D18EC" w:rsidRPr="00A22311" w:rsidRDefault="006D18EC" w:rsidP="006D18EC">
      <w:pPr>
        <w:pStyle w:val="Listenabsatz"/>
        <w:numPr>
          <w:ilvl w:val="0"/>
          <w:numId w:val="8"/>
        </w:numPr>
        <w:jc w:val="both"/>
        <w:rPr>
          <w:rFonts w:ascii="Times New Roman" w:hAnsi="Times New Roman" w:cs="Times New Roman"/>
          <w:sz w:val="24"/>
          <w:szCs w:val="24"/>
        </w:rPr>
      </w:pPr>
      <w:r w:rsidRPr="00A22311">
        <w:rPr>
          <w:rFonts w:ascii="Times New Roman" w:hAnsi="Times New Roman" w:cs="Times New Roman"/>
          <w:sz w:val="24"/>
          <w:szCs w:val="24"/>
        </w:rPr>
        <w:t>Begründet, welchem Ansatz der beiden Studien ihr folgen würdet.</w:t>
      </w:r>
    </w:p>
    <w:p w:rsidR="006D18EC" w:rsidRPr="00A22311" w:rsidRDefault="006D18EC" w:rsidP="006D18EC">
      <w:pPr>
        <w:pStyle w:val="Listenabsatz"/>
        <w:numPr>
          <w:ilvl w:val="0"/>
          <w:numId w:val="8"/>
        </w:numPr>
        <w:jc w:val="both"/>
        <w:rPr>
          <w:rFonts w:ascii="Times New Roman" w:hAnsi="Times New Roman" w:cs="Times New Roman"/>
          <w:sz w:val="24"/>
          <w:szCs w:val="24"/>
        </w:rPr>
      </w:pPr>
      <w:r w:rsidRPr="00A22311">
        <w:rPr>
          <w:rFonts w:ascii="Times New Roman" w:hAnsi="Times New Roman" w:cs="Times New Roman"/>
          <w:sz w:val="24"/>
          <w:szCs w:val="24"/>
        </w:rPr>
        <w:t>Entwickelt zusätzliche Möglichkeiten für einen Vergleich, die von den Studien nicht gewählt wurden</w:t>
      </w:r>
      <w:r w:rsidR="00676E58">
        <w:rPr>
          <w:rFonts w:ascii="Times New Roman" w:hAnsi="Times New Roman" w:cs="Times New Roman"/>
          <w:sz w:val="24"/>
          <w:szCs w:val="24"/>
        </w:rPr>
        <w:t>.</w:t>
      </w:r>
    </w:p>
    <w:p w:rsidR="00151A6D" w:rsidRDefault="00151A6D" w:rsidP="00151A6D"/>
    <w:p w:rsidR="00151A6D" w:rsidRDefault="00151A6D" w:rsidP="00151A6D"/>
    <w:p w:rsidR="00151A6D" w:rsidRDefault="00151A6D" w:rsidP="00151A6D"/>
    <w:p w:rsidR="006D18EC" w:rsidRDefault="006D18EC" w:rsidP="00151A6D"/>
    <w:p w:rsidR="006D18EC" w:rsidRDefault="006D18EC" w:rsidP="00151A6D"/>
    <w:p w:rsidR="00151A6D" w:rsidRDefault="00151A6D" w:rsidP="00151A6D"/>
    <w:p w:rsidR="00151A6D" w:rsidRPr="000F3682" w:rsidRDefault="00151A6D" w:rsidP="00151A6D">
      <w:pPr>
        <w:jc w:val="both"/>
        <w:rPr>
          <w:rFonts w:cs="Times New Roman"/>
          <w:b/>
        </w:rPr>
      </w:pPr>
      <w:r>
        <w:rPr>
          <w:rFonts w:cs="Times New Roman"/>
          <w:b/>
        </w:rPr>
        <w:t xml:space="preserve">Gruppe 2: Zusatzinformationen </w:t>
      </w:r>
    </w:p>
    <w:p w:rsidR="00151A6D" w:rsidRPr="00456D5A" w:rsidRDefault="00151A6D" w:rsidP="00151A6D">
      <w:pPr>
        <w:spacing w:line="259" w:lineRule="auto"/>
        <w:jc w:val="both"/>
        <w:rPr>
          <w:sz w:val="24"/>
          <w:u w:val="single"/>
        </w:rPr>
      </w:pPr>
    </w:p>
    <w:tbl>
      <w:tblPr>
        <w:tblStyle w:val="Tabellenraster"/>
        <w:tblW w:w="0" w:type="auto"/>
        <w:tblLook w:val="04A0" w:firstRow="1" w:lastRow="0" w:firstColumn="1" w:lastColumn="0" w:noHBand="0" w:noVBand="1"/>
      </w:tblPr>
      <w:tblGrid>
        <w:gridCol w:w="2122"/>
        <w:gridCol w:w="6938"/>
      </w:tblGrid>
      <w:tr w:rsidR="00151A6D" w:rsidRPr="007364BD" w:rsidTr="00151A6D">
        <w:tc>
          <w:tcPr>
            <w:tcW w:w="2122" w:type="dxa"/>
          </w:tcPr>
          <w:p w:rsidR="00151A6D" w:rsidRPr="00151A6D" w:rsidRDefault="00151A6D" w:rsidP="005A33F1">
            <w:pPr>
              <w:spacing w:line="259" w:lineRule="auto"/>
              <w:rPr>
                <w:b/>
                <w:szCs w:val="20"/>
              </w:rPr>
            </w:pPr>
            <w:proofErr w:type="spellStart"/>
            <w:r w:rsidRPr="00151A6D">
              <w:rPr>
                <w:b/>
                <w:szCs w:val="20"/>
              </w:rPr>
              <w:t>Strommix</w:t>
            </w:r>
            <w:proofErr w:type="spellEnd"/>
          </w:p>
        </w:tc>
        <w:tc>
          <w:tcPr>
            <w:tcW w:w="6938" w:type="dxa"/>
          </w:tcPr>
          <w:p w:rsidR="00151A6D" w:rsidRDefault="00151A6D" w:rsidP="00151A6D">
            <w:pPr>
              <w:spacing w:line="259" w:lineRule="auto"/>
              <w:jc w:val="both"/>
              <w:rPr>
                <w:szCs w:val="20"/>
              </w:rPr>
            </w:pPr>
            <w:r w:rsidRPr="00151A6D">
              <w:rPr>
                <w:szCs w:val="20"/>
              </w:rPr>
              <w:t xml:space="preserve">Der </w:t>
            </w:r>
            <w:proofErr w:type="spellStart"/>
            <w:r w:rsidRPr="00151A6D">
              <w:rPr>
                <w:szCs w:val="20"/>
              </w:rPr>
              <w:t>Strommix</w:t>
            </w:r>
            <w:proofErr w:type="spellEnd"/>
            <w:r w:rsidRPr="00151A6D">
              <w:rPr>
                <w:szCs w:val="20"/>
              </w:rPr>
              <w:t xml:space="preserve"> bezeichnet die durchschnittliche Zusammensetzung des Stroms eines Gebiets hinsichtlich der Energieträger wie beispielsweise Kohle, Gas, Atom oder Er</w:t>
            </w:r>
            <w:r>
              <w:rPr>
                <w:szCs w:val="20"/>
              </w:rPr>
              <w:t>neuerbaren wie Wind und Solar</w:t>
            </w:r>
            <w:r w:rsidRPr="00151A6D">
              <w:rPr>
                <w:szCs w:val="20"/>
              </w:rPr>
              <w:t xml:space="preserve">. Eine </w:t>
            </w:r>
            <w:r>
              <w:rPr>
                <w:szCs w:val="20"/>
              </w:rPr>
              <w:t>zugehörige Jahreszahl markiert</w:t>
            </w:r>
            <w:r w:rsidR="00C3668A">
              <w:rPr>
                <w:szCs w:val="20"/>
              </w:rPr>
              <w:t>,</w:t>
            </w:r>
            <w:r>
              <w:rPr>
                <w:szCs w:val="20"/>
              </w:rPr>
              <w:t xml:space="preserve"> </w:t>
            </w:r>
            <w:r w:rsidRPr="00151A6D">
              <w:rPr>
                <w:szCs w:val="20"/>
              </w:rPr>
              <w:t xml:space="preserve">aus welchem Jahr die Daten des </w:t>
            </w:r>
            <w:proofErr w:type="spellStart"/>
            <w:r w:rsidRPr="00151A6D">
              <w:rPr>
                <w:szCs w:val="20"/>
              </w:rPr>
              <w:t>Strommix</w:t>
            </w:r>
            <w:proofErr w:type="spellEnd"/>
            <w:r w:rsidRPr="00151A6D">
              <w:rPr>
                <w:szCs w:val="20"/>
              </w:rPr>
              <w:t xml:space="preserve"> stammen. </w:t>
            </w:r>
            <w:r>
              <w:rPr>
                <w:szCs w:val="20"/>
              </w:rPr>
              <w:t>Durch einen hohen Anteil an Wasserkraft und erneuerbaren Energien in Schwe</w:t>
            </w:r>
            <w:r w:rsidR="00C3668A">
              <w:rPr>
                <w:szCs w:val="20"/>
              </w:rPr>
              <w:t>den und Atomkraft in Frankreich</w:t>
            </w:r>
            <w:r>
              <w:rPr>
                <w:szCs w:val="20"/>
              </w:rPr>
              <w:t xml:space="preserve"> sind die CO2-Emissionen in diesen Ländern verhältnismäßig niedrig. In Deutschland und in vielen anderen europäischen Länder sind durch den Anteil von Kohle und Gas die Emissionen im Vergleich deutlich höher. Dies führt entsprechend zu höheren Emissionswerten für Elektroautos. </w:t>
            </w:r>
          </w:p>
          <w:p w:rsidR="00151A6D" w:rsidRPr="00151A6D" w:rsidRDefault="00151A6D" w:rsidP="00A83159">
            <w:pPr>
              <w:spacing w:line="259" w:lineRule="auto"/>
              <w:jc w:val="both"/>
              <w:rPr>
                <w:szCs w:val="20"/>
              </w:rPr>
            </w:pPr>
            <w:r w:rsidRPr="00151A6D">
              <w:rPr>
                <w:szCs w:val="20"/>
              </w:rPr>
              <w:br/>
            </w:r>
            <w:r>
              <w:rPr>
                <w:szCs w:val="20"/>
              </w:rPr>
              <w:t>Der</w:t>
            </w:r>
            <w:r w:rsidRPr="00151A6D">
              <w:rPr>
                <w:szCs w:val="20"/>
              </w:rPr>
              <w:t xml:space="preserve"> </w:t>
            </w:r>
            <w:proofErr w:type="spellStart"/>
            <w:r w:rsidRPr="00151A6D">
              <w:rPr>
                <w:szCs w:val="20"/>
              </w:rPr>
              <w:t>Strommix</w:t>
            </w:r>
            <w:proofErr w:type="spellEnd"/>
            <w:r w:rsidRPr="00151A6D">
              <w:rPr>
                <w:szCs w:val="20"/>
              </w:rPr>
              <w:t xml:space="preserve"> </w:t>
            </w:r>
            <w:r>
              <w:rPr>
                <w:szCs w:val="20"/>
              </w:rPr>
              <w:t>der TU Eindhoven nutzt</w:t>
            </w:r>
            <w:r w:rsidRPr="00151A6D">
              <w:rPr>
                <w:szCs w:val="20"/>
              </w:rPr>
              <w:t xml:space="preserve"> </w:t>
            </w:r>
            <w:r>
              <w:rPr>
                <w:szCs w:val="20"/>
              </w:rPr>
              <w:t>i</w:t>
            </w:r>
            <w:r w:rsidR="00116D45">
              <w:rPr>
                <w:szCs w:val="20"/>
              </w:rPr>
              <w:t>m Vergleich zu der Studie des if</w:t>
            </w:r>
            <w:r>
              <w:rPr>
                <w:szCs w:val="20"/>
              </w:rPr>
              <w:t>o Instituts nicht</w:t>
            </w:r>
            <w:r w:rsidRPr="00151A6D">
              <w:rPr>
                <w:szCs w:val="20"/>
              </w:rPr>
              <w:t xml:space="preserve"> den </w:t>
            </w:r>
            <w:proofErr w:type="spellStart"/>
            <w:r w:rsidRPr="00151A6D">
              <w:rPr>
                <w:szCs w:val="20"/>
              </w:rPr>
              <w:t>Strommix</w:t>
            </w:r>
            <w:proofErr w:type="spellEnd"/>
            <w:r w:rsidRPr="00151A6D">
              <w:rPr>
                <w:szCs w:val="20"/>
              </w:rPr>
              <w:t xml:space="preserve"> eines Jahres als Grundlage für die Berechnungen. Bei einer Lebensdauer eines Elektroautos von 20 Jahren, so die Autoren, sei es unrealistisch anzunehmen, dass sich der </w:t>
            </w:r>
            <w:proofErr w:type="spellStart"/>
            <w:r w:rsidRPr="00151A6D">
              <w:rPr>
                <w:szCs w:val="20"/>
              </w:rPr>
              <w:t>Strommix</w:t>
            </w:r>
            <w:proofErr w:type="spellEnd"/>
            <w:r w:rsidRPr="00151A6D">
              <w:rPr>
                <w:szCs w:val="20"/>
              </w:rPr>
              <w:t xml:space="preserve"> nicht verbessere und Elektroautos</w:t>
            </w:r>
            <w:r w:rsidR="00116D45">
              <w:rPr>
                <w:szCs w:val="20"/>
              </w:rPr>
              <w:t xml:space="preserve"> nicht</w:t>
            </w:r>
            <w:r w:rsidRPr="00151A6D">
              <w:rPr>
                <w:szCs w:val="20"/>
              </w:rPr>
              <w:t xml:space="preserve"> klimafreundlicher würden. Entsprechend ermittelten die Forscher mittels einer linearen Regression eine durchschnittliche Verbesserung der Emissionen des </w:t>
            </w:r>
            <w:proofErr w:type="spellStart"/>
            <w:r w:rsidRPr="00151A6D">
              <w:rPr>
                <w:szCs w:val="20"/>
              </w:rPr>
              <w:t>Strommix</w:t>
            </w:r>
            <w:proofErr w:type="spellEnd"/>
            <w:r w:rsidRPr="00151A6D">
              <w:rPr>
                <w:szCs w:val="20"/>
              </w:rPr>
              <w:t xml:space="preserve"> über die letzten 30 Jahre und </w:t>
            </w:r>
            <w:r w:rsidR="00A83159">
              <w:rPr>
                <w:szCs w:val="20"/>
              </w:rPr>
              <w:t>setzen</w:t>
            </w:r>
            <w:r w:rsidRPr="00151A6D">
              <w:rPr>
                <w:szCs w:val="20"/>
              </w:rPr>
              <w:t xml:space="preserve"> diesen als kontinuierlich weiterlaufend für die nächsten 20 Jahre</w:t>
            </w:r>
            <w:r w:rsidR="00A83159">
              <w:rPr>
                <w:szCs w:val="20"/>
              </w:rPr>
              <w:t xml:space="preserve"> ein.</w:t>
            </w:r>
            <w:r w:rsidRPr="00151A6D">
              <w:rPr>
                <w:szCs w:val="20"/>
              </w:rPr>
              <w:t xml:space="preserve">  </w:t>
            </w:r>
          </w:p>
        </w:tc>
      </w:tr>
    </w:tbl>
    <w:p w:rsidR="00151A6D" w:rsidRPr="008B34B4" w:rsidRDefault="00151A6D" w:rsidP="00151A6D">
      <w:pPr>
        <w:rPr>
          <w:rFonts w:cs="Times New Roman"/>
        </w:rPr>
      </w:pPr>
    </w:p>
    <w:p w:rsidR="008B34B4" w:rsidRPr="008B34B4" w:rsidRDefault="00C80C95" w:rsidP="008B34B4">
      <w:pPr>
        <w:spacing w:line="259" w:lineRule="auto"/>
        <w:jc w:val="both"/>
        <w:rPr>
          <w:rFonts w:cs="Times New Roman"/>
          <w:b/>
          <w:sz w:val="24"/>
          <w:szCs w:val="24"/>
        </w:rPr>
      </w:pPr>
      <w:r>
        <w:rPr>
          <w:rFonts w:cs="Times New Roman"/>
          <w:b/>
          <w:sz w:val="24"/>
          <w:szCs w:val="24"/>
        </w:rPr>
        <w:t>Zusatzaufgabe</w:t>
      </w:r>
      <w:r w:rsidR="008B34B4" w:rsidRPr="008B34B4">
        <w:rPr>
          <w:rFonts w:cs="Times New Roman"/>
          <w:b/>
          <w:sz w:val="24"/>
          <w:szCs w:val="24"/>
        </w:rPr>
        <w:t>:</w:t>
      </w:r>
    </w:p>
    <w:p w:rsidR="008B34B4" w:rsidRPr="008B34B4" w:rsidRDefault="00D21628" w:rsidP="00D21628">
      <w:pPr>
        <w:pStyle w:val="Listenabsatz"/>
        <w:numPr>
          <w:ilvl w:val="0"/>
          <w:numId w:val="9"/>
        </w:numPr>
        <w:jc w:val="both"/>
        <w:rPr>
          <w:rFonts w:ascii="Times New Roman" w:hAnsi="Times New Roman" w:cs="Times New Roman"/>
          <w:sz w:val="24"/>
          <w:szCs w:val="24"/>
        </w:rPr>
      </w:pPr>
      <w:r>
        <w:rPr>
          <w:rFonts w:ascii="Times New Roman" w:hAnsi="Times New Roman" w:cs="Times New Roman"/>
          <w:sz w:val="24"/>
          <w:szCs w:val="24"/>
        </w:rPr>
        <w:t>Der Verbrauch des Tesla Model 3 liegt bei 15</w:t>
      </w:r>
      <w:r w:rsidRPr="00D21628">
        <w:rPr>
          <w:rFonts w:ascii="Times New Roman" w:hAnsi="Times New Roman" w:cs="Times New Roman"/>
          <w:sz w:val="24"/>
          <w:szCs w:val="24"/>
        </w:rPr>
        <w:t>kWh/100km</w:t>
      </w:r>
      <w:r>
        <w:rPr>
          <w:rFonts w:ascii="Times New Roman" w:hAnsi="Times New Roman" w:cs="Times New Roman"/>
          <w:sz w:val="24"/>
          <w:szCs w:val="24"/>
        </w:rPr>
        <w:t xml:space="preserve">. Berechne die Emission in </w:t>
      </w:r>
      <w:r w:rsidRPr="00D21628">
        <w:rPr>
          <w:rFonts w:ascii="Times New Roman" w:hAnsi="Times New Roman" w:cs="Times New Roman"/>
          <w:sz w:val="24"/>
          <w:szCs w:val="24"/>
        </w:rPr>
        <w:t>CO2</w:t>
      </w:r>
      <w:r w:rsidR="008B689D">
        <w:rPr>
          <w:rFonts w:ascii="Times New Roman" w:hAnsi="Times New Roman" w:cs="Times New Roman"/>
          <w:sz w:val="24"/>
          <w:szCs w:val="24"/>
        </w:rPr>
        <w:t xml:space="preserve"> in Gramm pro Kilometer</w:t>
      </w:r>
      <w:r>
        <w:rPr>
          <w:rFonts w:ascii="Times New Roman" w:hAnsi="Times New Roman" w:cs="Times New Roman"/>
          <w:sz w:val="24"/>
          <w:szCs w:val="24"/>
        </w:rPr>
        <w:t xml:space="preserve"> für den französischen und polnischen </w:t>
      </w:r>
      <w:proofErr w:type="spellStart"/>
      <w:r>
        <w:rPr>
          <w:rFonts w:ascii="Times New Roman" w:hAnsi="Times New Roman" w:cs="Times New Roman"/>
          <w:sz w:val="24"/>
          <w:szCs w:val="24"/>
        </w:rPr>
        <w:t>Strommix</w:t>
      </w:r>
      <w:proofErr w:type="spellEnd"/>
      <w:r>
        <w:rPr>
          <w:rFonts w:ascii="Times New Roman" w:hAnsi="Times New Roman" w:cs="Times New Roman"/>
          <w:sz w:val="24"/>
          <w:szCs w:val="24"/>
        </w:rPr>
        <w:t xml:space="preserve"> aus Statistik </w:t>
      </w:r>
      <w:r w:rsidR="00FF06A7">
        <w:rPr>
          <w:rFonts w:ascii="Times New Roman" w:hAnsi="Times New Roman" w:cs="Times New Roman"/>
          <w:sz w:val="24"/>
          <w:szCs w:val="24"/>
        </w:rPr>
        <w:t>1</w:t>
      </w:r>
      <w:r>
        <w:rPr>
          <w:rFonts w:ascii="Times New Roman" w:hAnsi="Times New Roman" w:cs="Times New Roman"/>
          <w:sz w:val="24"/>
          <w:szCs w:val="24"/>
        </w:rPr>
        <w:t>.</w:t>
      </w:r>
      <w:r w:rsidR="00676E58">
        <w:rPr>
          <w:rFonts w:ascii="Times New Roman" w:hAnsi="Times New Roman" w:cs="Times New Roman"/>
          <w:sz w:val="24"/>
          <w:szCs w:val="24"/>
        </w:rPr>
        <w:t xml:space="preserve"> Wie viel besser oder schlechter schneidet das Elektroauto zu den Werten des Diesel (vgl. M3.2/M4.2) ab. </w:t>
      </w:r>
    </w:p>
    <w:p w:rsidR="00FF06A7" w:rsidRPr="00151A6D" w:rsidRDefault="00FF06A7" w:rsidP="008B34B4"/>
    <w:sectPr w:rsidR="00FF06A7" w:rsidRPr="00151A6D">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53BE" w:rsidRDefault="008653BE" w:rsidP="000757EA">
      <w:pPr>
        <w:spacing w:after="0" w:line="240" w:lineRule="auto"/>
      </w:pPr>
      <w:r>
        <w:separator/>
      </w:r>
    </w:p>
  </w:endnote>
  <w:endnote w:type="continuationSeparator" w:id="0">
    <w:p w:rsidR="008653BE" w:rsidRDefault="008653BE"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53BE" w:rsidRDefault="008653BE" w:rsidP="000757EA">
      <w:pPr>
        <w:spacing w:after="0" w:line="240" w:lineRule="auto"/>
      </w:pPr>
      <w:r>
        <w:separator/>
      </w:r>
    </w:p>
  </w:footnote>
  <w:footnote w:type="continuationSeparator" w:id="0">
    <w:p w:rsidR="008653BE" w:rsidRDefault="008653BE" w:rsidP="00075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57EA" w:rsidRDefault="000757EA" w:rsidP="000757EA">
    <w:pPr>
      <w:pStyle w:val="Kopfzeile"/>
    </w:pPr>
    <w:r>
      <w:rPr>
        <w:rFonts w:cs="Open Sans"/>
        <w:noProof/>
        <w:sz w:val="32"/>
        <w:lang w:eastAsia="de-DE"/>
      </w:rPr>
      <mc:AlternateContent>
        <mc:Choice Requires="wps">
          <w:drawing>
            <wp:anchor distT="0" distB="0" distL="114300" distR="114300" simplePos="0" relativeHeight="251660288" behindDoc="0" locked="0" layoutInCell="1" allowOverlap="1" wp14:anchorId="428F5A12" wp14:editId="107F31DE">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2A20B"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Pr>
        <w:noProof/>
        <w:lang w:eastAsia="de-DE"/>
      </w:rPr>
      <w:drawing>
        <wp:anchor distT="0" distB="0" distL="114300" distR="114300" simplePos="0" relativeHeight="251661312" behindDoc="1" locked="0" layoutInCell="1" allowOverlap="1" wp14:anchorId="2A71A484" wp14:editId="64C11340">
          <wp:simplePos x="0" y="0"/>
          <wp:positionH relativeFrom="column">
            <wp:posOffset>-247840</wp:posOffset>
          </wp:positionH>
          <wp:positionV relativeFrom="paragraph">
            <wp:posOffset>-391548</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de-DE"/>
      </w:rPr>
      <mc:AlternateContent>
        <mc:Choice Requires="wps">
          <w:drawing>
            <wp:anchor distT="0" distB="0" distL="114300" distR="114300" simplePos="0" relativeHeight="251659264" behindDoc="0" locked="0" layoutInCell="1" allowOverlap="1" wp14:anchorId="67E93D10" wp14:editId="79D8747D">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rsidR="000757EA" w:rsidRDefault="0016584F" w:rsidP="0016584F">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5.2</w:t>
                          </w:r>
                        </w:p>
                        <w:p w:rsidR="0016584F" w:rsidRPr="00AF5E4D" w:rsidRDefault="0016584F" w:rsidP="0016584F">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67E93D10" id="_x0000_t202" coordsize="21600,21600" o:spt="202" path="m,l,21600r21600,l21600,xe">
              <v:stroke joinstyle="miter"/>
              <v:path gradientshapeok="t" o:connecttype="rect"/>
            </v:shapetype>
            <v:shape id="Textfeld 2" o:spid="_x0000_s1026"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rsidR="000757EA" w:rsidRDefault="0016584F" w:rsidP="0016584F">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5.2</w:t>
                    </w:r>
                  </w:p>
                  <w:p w:rsidR="0016584F" w:rsidRPr="00AF5E4D" w:rsidRDefault="0016584F" w:rsidP="0016584F">
                    <w:pPr>
                      <w:jc w:val="right"/>
                      <w:rPr>
                        <w:rFonts w:cs="Times New Roman"/>
                        <w:smallCaps/>
                        <w:color w:val="234BA5"/>
                        <w:spacing w:val="20"/>
                        <w:sz w:val="36"/>
                        <w:szCs w:val="36"/>
                        <w:lang w:val="en-GB"/>
                      </w:rPr>
                    </w:pPr>
                  </w:p>
                </w:txbxContent>
              </v:textbox>
              <w10:wrap anchorx="margin"/>
            </v:shape>
          </w:pict>
        </mc:Fallback>
      </mc:AlternateContent>
    </w:r>
  </w:p>
  <w:p w:rsidR="000757EA" w:rsidRDefault="000757E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9F4D68"/>
    <w:multiLevelType w:val="hybridMultilevel"/>
    <w:tmpl w:val="BEB0FF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547375"/>
    <w:multiLevelType w:val="hybridMultilevel"/>
    <w:tmpl w:val="BEB0FF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3146D7B"/>
    <w:multiLevelType w:val="hybridMultilevel"/>
    <w:tmpl w:val="92229E46"/>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4"/>
  </w:num>
  <w:num w:numId="5">
    <w:abstractNumId w:val="8"/>
  </w:num>
  <w:num w:numId="6">
    <w:abstractNumId w:val="1"/>
  </w:num>
  <w:num w:numId="7">
    <w:abstractNumId w:val="0"/>
  </w:num>
  <w:num w:numId="8">
    <w:abstractNumId w:val="2"/>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F2"/>
    <w:rsid w:val="000757EA"/>
    <w:rsid w:val="000F50F2"/>
    <w:rsid w:val="00116D45"/>
    <w:rsid w:val="00151A6D"/>
    <w:rsid w:val="0016584F"/>
    <w:rsid w:val="00182D86"/>
    <w:rsid w:val="001A43ED"/>
    <w:rsid w:val="002C2AB2"/>
    <w:rsid w:val="00366566"/>
    <w:rsid w:val="00434446"/>
    <w:rsid w:val="00557D4D"/>
    <w:rsid w:val="00604DCA"/>
    <w:rsid w:val="00676E58"/>
    <w:rsid w:val="006C4A78"/>
    <w:rsid w:val="006D18EC"/>
    <w:rsid w:val="00846233"/>
    <w:rsid w:val="008619DD"/>
    <w:rsid w:val="008653BE"/>
    <w:rsid w:val="008B34B4"/>
    <w:rsid w:val="008B689D"/>
    <w:rsid w:val="00A13C1B"/>
    <w:rsid w:val="00A83159"/>
    <w:rsid w:val="00B47A65"/>
    <w:rsid w:val="00C3668A"/>
    <w:rsid w:val="00C80C95"/>
    <w:rsid w:val="00C812DC"/>
    <w:rsid w:val="00CC2602"/>
    <w:rsid w:val="00D21628"/>
    <w:rsid w:val="00D866AF"/>
    <w:rsid w:val="00E146EA"/>
    <w:rsid w:val="00EE7B11"/>
    <w:rsid w:val="00EF6187"/>
    <w:rsid w:val="00FF06A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chart" Target="charts/chart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1.xlsx"/><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package" Target="../embeddings/Microsoft_Excel-Arbeitsblatt2.xlsx"/><Relationship Id="rId2" Type="http://schemas.microsoft.com/office/2011/relationships/chartColorStyle" Target="colors2.xml"/><Relationship Id="rId1" Type="http://schemas.microsoft.com/office/2011/relationships/chartStyle" Target="styl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a:latin typeface="Times New Roman" panose="02020603050405020304" pitchFamily="18" charset="0"/>
                <a:cs typeface="Times New Roman" panose="02020603050405020304" pitchFamily="18" charset="0"/>
              </a:rPr>
              <a:t>CO2 Emissionen in g/kWh (2018)</a:t>
            </a:r>
          </a:p>
        </c:rich>
      </c:tx>
      <c:layout>
        <c:manualLayout>
          <c:xMode val="edge"/>
          <c:yMode val="edge"/>
          <c:x val="0.32303240740740741"/>
          <c:y val="2.7777777777777776E-2"/>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title>
    <c:autoTitleDeleted val="0"/>
    <c:plotArea>
      <c:layout/>
      <c:barChart>
        <c:barDir val="col"/>
        <c:grouping val="clustered"/>
        <c:varyColors val="0"/>
        <c:ser>
          <c:idx val="0"/>
          <c:order val="0"/>
          <c:tx>
            <c:strRef>
              <c:f>Tabelle1!$B$1</c:f>
              <c:strCache>
                <c:ptCount val="1"/>
                <c:pt idx="0">
                  <c:v>CO2 Emissionen in g/kWh</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Tabelle1!$A$2:$A$8</c:f>
              <c:strCache>
                <c:ptCount val="7"/>
                <c:pt idx="0">
                  <c:v>Schweden</c:v>
                </c:pt>
                <c:pt idx="1">
                  <c:v>Frankreich</c:v>
                </c:pt>
                <c:pt idx="2">
                  <c:v>Italien</c:v>
                </c:pt>
                <c:pt idx="3">
                  <c:v>EU-27</c:v>
                </c:pt>
                <c:pt idx="4">
                  <c:v>Deutschland</c:v>
                </c:pt>
                <c:pt idx="5">
                  <c:v>Niederlande</c:v>
                </c:pt>
                <c:pt idx="6">
                  <c:v>Polen</c:v>
                </c:pt>
              </c:strCache>
            </c:strRef>
          </c:cat>
          <c:val>
            <c:numRef>
              <c:f>Tabelle1!$B$2:$B$8</c:f>
              <c:numCache>
                <c:formatCode>General</c:formatCode>
                <c:ptCount val="7"/>
                <c:pt idx="0">
                  <c:v>13</c:v>
                </c:pt>
                <c:pt idx="1">
                  <c:v>54</c:v>
                </c:pt>
                <c:pt idx="2">
                  <c:v>248</c:v>
                </c:pt>
                <c:pt idx="3">
                  <c:v>287</c:v>
                </c:pt>
                <c:pt idx="4">
                  <c:v>406</c:v>
                </c:pt>
                <c:pt idx="5">
                  <c:v>441</c:v>
                </c:pt>
                <c:pt idx="6">
                  <c:v>789</c:v>
                </c:pt>
              </c:numCache>
            </c:numRef>
          </c:val>
        </c:ser>
        <c:dLbls>
          <c:showLegendKey val="0"/>
          <c:showVal val="0"/>
          <c:showCatName val="0"/>
          <c:showSerName val="0"/>
          <c:showPercent val="0"/>
          <c:showBubbleSize val="0"/>
        </c:dLbls>
        <c:gapWidth val="219"/>
        <c:overlap val="-27"/>
        <c:axId val="-1779508000"/>
        <c:axId val="-1779505280"/>
      </c:barChart>
      <c:catAx>
        <c:axId val="-177950800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crossAx val="-1779505280"/>
        <c:crosses val="autoZero"/>
        <c:auto val="1"/>
        <c:lblAlgn val="ctr"/>
        <c:lblOffset val="100"/>
        <c:noMultiLvlLbl val="0"/>
      </c:catAx>
      <c:valAx>
        <c:axId val="-1779505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779508000"/>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en-US" sz="1400" b="0" i="0" u="none" strike="noStrike" baseline="0">
                <a:effectLst/>
                <a:latin typeface="Times New Roman" panose="02020603050405020304" pitchFamily="18" charset="0"/>
                <a:cs typeface="Times New Roman" panose="02020603050405020304" pitchFamily="18" charset="0"/>
              </a:rPr>
              <a:t>CO2 Emissionen in g/kWh</a:t>
            </a:r>
            <a:endParaRPr lang="de-DE">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title>
    <c:autoTitleDeleted val="0"/>
    <c:plotArea>
      <c:layout/>
      <c:lineChart>
        <c:grouping val="standard"/>
        <c:varyColors val="0"/>
        <c:ser>
          <c:idx val="0"/>
          <c:order val="0"/>
          <c:tx>
            <c:strRef>
              <c:f>Tabelle1!$B$1</c:f>
              <c:strCache>
                <c:ptCount val="1"/>
                <c:pt idx="0">
                  <c:v>Frankreich</c:v>
                </c:pt>
              </c:strCache>
            </c:strRef>
          </c:tx>
          <c:spPr>
            <a:ln w="28575" cap="rnd">
              <a:solidFill>
                <a:schemeClr val="accent1"/>
              </a:solidFill>
              <a:round/>
            </a:ln>
            <a:effectLst/>
          </c:spPr>
          <c:marker>
            <c:symbol val="circle"/>
            <c:size val="5"/>
            <c:spPr>
              <a:solidFill>
                <a:schemeClr val="accent1"/>
              </a:solidFill>
              <a:ln w="9525">
                <a:solidFill>
                  <a:schemeClr val="accent1"/>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Tabelle1!$A$2:$A$15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Tabelle1!$B$2:$B$15</c:f>
              <c:numCache>
                <c:formatCode>General</c:formatCode>
                <c:ptCount val="14"/>
                <c:pt idx="0">
                  <c:v>101</c:v>
                </c:pt>
                <c:pt idx="1">
                  <c:v>96</c:v>
                </c:pt>
                <c:pt idx="2">
                  <c:v>87</c:v>
                </c:pt>
                <c:pt idx="3">
                  <c:v>79</c:v>
                </c:pt>
                <c:pt idx="4">
                  <c:v>77</c:v>
                </c:pt>
                <c:pt idx="5">
                  <c:v>65</c:v>
                </c:pt>
                <c:pt idx="6">
                  <c:v>69</c:v>
                </c:pt>
                <c:pt idx="7">
                  <c:v>69</c:v>
                </c:pt>
                <c:pt idx="8">
                  <c:v>51</c:v>
                </c:pt>
                <c:pt idx="9">
                  <c:v>54</c:v>
                </c:pt>
                <c:pt idx="10">
                  <c:v>60</c:v>
                </c:pt>
                <c:pt idx="11">
                  <c:v>69</c:v>
                </c:pt>
                <c:pt idx="12">
                  <c:v>54</c:v>
                </c:pt>
                <c:pt idx="13">
                  <c:v>52</c:v>
                </c:pt>
              </c:numCache>
            </c:numRef>
          </c:val>
          <c:smooth val="0"/>
        </c:ser>
        <c:ser>
          <c:idx val="1"/>
          <c:order val="1"/>
          <c:tx>
            <c:strRef>
              <c:f>Tabelle1!$C$1</c:f>
              <c:strCache>
                <c:ptCount val="1"/>
                <c:pt idx="0">
                  <c:v>EU-27</c:v>
                </c:pt>
              </c:strCache>
            </c:strRef>
          </c:tx>
          <c:spPr>
            <a:ln w="28575" cap="rnd">
              <a:solidFill>
                <a:schemeClr val="accent2"/>
              </a:solidFill>
              <a:round/>
            </a:ln>
            <a:effectLst/>
          </c:spPr>
          <c:marker>
            <c:symbol val="circle"/>
            <c:size val="5"/>
            <c:spPr>
              <a:solidFill>
                <a:schemeClr val="accent2"/>
              </a:solidFill>
              <a:ln w="9525">
                <a:solidFill>
                  <a:schemeClr val="accent2"/>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Tabelle1!$A$2:$A$15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Tabelle1!$C$2:$C$15</c:f>
              <c:numCache>
                <c:formatCode>General</c:formatCode>
                <c:ptCount val="14"/>
                <c:pt idx="0">
                  <c:v>403</c:v>
                </c:pt>
                <c:pt idx="1">
                  <c:v>408</c:v>
                </c:pt>
                <c:pt idx="2">
                  <c:v>386</c:v>
                </c:pt>
                <c:pt idx="3">
                  <c:v>369</c:v>
                </c:pt>
                <c:pt idx="4">
                  <c:v>357</c:v>
                </c:pt>
                <c:pt idx="5">
                  <c:v>361</c:v>
                </c:pt>
                <c:pt idx="6">
                  <c:v>361</c:v>
                </c:pt>
                <c:pt idx="7">
                  <c:v>342</c:v>
                </c:pt>
                <c:pt idx="8">
                  <c:v>329</c:v>
                </c:pt>
                <c:pt idx="9">
                  <c:v>324</c:v>
                </c:pt>
                <c:pt idx="10">
                  <c:v>305</c:v>
                </c:pt>
                <c:pt idx="11">
                  <c:v>303</c:v>
                </c:pt>
                <c:pt idx="12">
                  <c:v>287</c:v>
                </c:pt>
                <c:pt idx="13">
                  <c:v>275</c:v>
                </c:pt>
              </c:numCache>
            </c:numRef>
          </c:val>
          <c:smooth val="0"/>
        </c:ser>
        <c:ser>
          <c:idx val="2"/>
          <c:order val="2"/>
          <c:tx>
            <c:strRef>
              <c:f>Tabelle1!$D$1</c:f>
              <c:strCache>
                <c:ptCount val="1"/>
                <c:pt idx="0">
                  <c:v>Deutschland</c:v>
                </c:pt>
              </c:strCache>
            </c:strRef>
          </c:tx>
          <c:spPr>
            <a:ln w="28575" cap="rnd">
              <a:solidFill>
                <a:schemeClr val="accent3"/>
              </a:solidFill>
              <a:round/>
            </a:ln>
            <a:effectLst/>
          </c:spPr>
          <c:marker>
            <c:symbol val="circle"/>
            <c:size val="5"/>
            <c:spPr>
              <a:solidFill>
                <a:schemeClr val="accent3"/>
              </a:solidFill>
              <a:ln w="9525">
                <a:solidFill>
                  <a:schemeClr val="accent3"/>
                </a:solidFill>
              </a:ln>
              <a:effectLst/>
            </c:spPr>
          </c:marker>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Tabelle1!$A$2:$A$15</c:f>
              <c:numCache>
                <c:formatCode>General</c:formatCode>
                <c:ptCount val="14"/>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numCache>
            </c:numRef>
          </c:cat>
          <c:val>
            <c:numRef>
              <c:f>Tabelle1!$D$2:$D$15</c:f>
              <c:numCache>
                <c:formatCode>General</c:formatCode>
                <c:ptCount val="14"/>
                <c:pt idx="0">
                  <c:v>515</c:v>
                </c:pt>
                <c:pt idx="1">
                  <c:v>534</c:v>
                </c:pt>
                <c:pt idx="2">
                  <c:v>501</c:v>
                </c:pt>
                <c:pt idx="3">
                  <c:v>496</c:v>
                </c:pt>
                <c:pt idx="4">
                  <c:v>483</c:v>
                </c:pt>
                <c:pt idx="5">
                  <c:v>499</c:v>
                </c:pt>
                <c:pt idx="6">
                  <c:v>505</c:v>
                </c:pt>
                <c:pt idx="7">
                  <c:v>501</c:v>
                </c:pt>
                <c:pt idx="8">
                  <c:v>490</c:v>
                </c:pt>
                <c:pt idx="9">
                  <c:v>460</c:v>
                </c:pt>
                <c:pt idx="10">
                  <c:v>456</c:v>
                </c:pt>
                <c:pt idx="11">
                  <c:v>424</c:v>
                </c:pt>
                <c:pt idx="12">
                  <c:v>406</c:v>
                </c:pt>
                <c:pt idx="13">
                  <c:v>338</c:v>
                </c:pt>
              </c:numCache>
            </c:numRef>
          </c:val>
          <c:smooth val="0"/>
        </c:ser>
        <c:dLbls>
          <c:showLegendKey val="0"/>
          <c:showVal val="0"/>
          <c:showCatName val="0"/>
          <c:showSerName val="0"/>
          <c:showPercent val="0"/>
          <c:showBubbleSize val="0"/>
        </c:dLbls>
        <c:marker val="1"/>
        <c:smooth val="0"/>
        <c:axId val="-1779511808"/>
        <c:axId val="-1779511264"/>
      </c:lineChart>
      <c:catAx>
        <c:axId val="-177951180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crossAx val="-1779511264"/>
        <c:crosses val="autoZero"/>
        <c:auto val="1"/>
        <c:lblAlgn val="ctr"/>
        <c:lblOffset val="100"/>
        <c:noMultiLvlLbl val="0"/>
      </c:catAx>
      <c:valAx>
        <c:axId val="-17795112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779511808"/>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3584</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cp:lastModifiedBy>
  <cp:revision>20</cp:revision>
  <cp:lastPrinted>2023-06-14T09:02:00Z</cp:lastPrinted>
  <dcterms:created xsi:type="dcterms:W3CDTF">2022-02-01T10:55:00Z</dcterms:created>
  <dcterms:modified xsi:type="dcterms:W3CDTF">2023-10-15T15:31:00Z</dcterms:modified>
</cp:coreProperties>
</file>