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D7202" w14:textId="77777777" w:rsidR="00855F3F" w:rsidRDefault="00855F3F" w:rsidP="00855F3F">
      <w:pPr>
        <w:jc w:val="center"/>
        <w:rPr>
          <w:rFonts w:cs="Times New Roman"/>
          <w:b/>
          <w:sz w:val="32"/>
          <w:szCs w:val="24"/>
          <w:u w:val="single"/>
        </w:rPr>
      </w:pPr>
      <w:r>
        <w:rPr>
          <w:rFonts w:cs="Times New Roman"/>
          <w:b/>
          <w:sz w:val="32"/>
          <w:szCs w:val="24"/>
          <w:u w:val="single"/>
        </w:rPr>
        <w:t>Mündigkeit</w:t>
      </w:r>
      <w:r w:rsidRPr="00B75D10">
        <w:rPr>
          <w:rFonts w:cs="Times New Roman"/>
          <w:b/>
          <w:sz w:val="32"/>
          <w:szCs w:val="24"/>
          <w:u w:val="single"/>
        </w:rPr>
        <w:t xml:space="preserve"> und Kompetenzen</w:t>
      </w:r>
    </w:p>
    <w:p w14:paraId="24FBB0B6" w14:textId="77777777" w:rsidR="00855F3F" w:rsidRPr="00F15CA7" w:rsidRDefault="00855F3F" w:rsidP="00855F3F">
      <w:pPr>
        <w:jc w:val="center"/>
        <w:rPr>
          <w:rFonts w:cs="Times New Roman"/>
          <w:sz w:val="32"/>
          <w:szCs w:val="24"/>
        </w:rPr>
      </w:pPr>
    </w:p>
    <w:tbl>
      <w:tblPr>
        <w:tblStyle w:val="Tabellenraster"/>
        <w:tblW w:w="0" w:type="auto"/>
        <w:tblLook w:val="04A0" w:firstRow="1" w:lastRow="0" w:firstColumn="1" w:lastColumn="0" w:noHBand="0" w:noVBand="1"/>
      </w:tblPr>
      <w:tblGrid>
        <w:gridCol w:w="6799"/>
        <w:gridCol w:w="1130"/>
        <w:gridCol w:w="1133"/>
      </w:tblGrid>
      <w:tr w:rsidR="00855F3F" w14:paraId="16F4F8AC" w14:textId="77777777" w:rsidTr="00A05739">
        <w:tc>
          <w:tcPr>
            <w:tcW w:w="6799" w:type="dxa"/>
          </w:tcPr>
          <w:p w14:paraId="66B704DD" w14:textId="77777777" w:rsidR="00855F3F" w:rsidRPr="00D615B6" w:rsidRDefault="00855F3F" w:rsidP="00A05739">
            <w:pPr>
              <w:spacing w:before="120" w:after="120"/>
              <w:rPr>
                <w:rFonts w:cs="Times New Roman"/>
                <w:b/>
                <w:sz w:val="28"/>
                <w:szCs w:val="28"/>
              </w:rPr>
            </w:pPr>
            <w:r w:rsidRPr="00D615B6">
              <w:rPr>
                <w:rFonts w:cs="Times New Roman"/>
                <w:b/>
                <w:sz w:val="28"/>
                <w:szCs w:val="28"/>
              </w:rPr>
              <w:t>Bürgerinnen und Bürger sind politisch mündig, wenn sie …</w:t>
            </w:r>
          </w:p>
        </w:tc>
        <w:tc>
          <w:tcPr>
            <w:tcW w:w="1130" w:type="dxa"/>
          </w:tcPr>
          <w:p w14:paraId="16428ED2" w14:textId="77777777" w:rsidR="00855F3F" w:rsidRPr="00156B6F" w:rsidRDefault="00855F3F" w:rsidP="00A05739">
            <w:pPr>
              <w:spacing w:before="120" w:after="120"/>
              <w:jc w:val="both"/>
              <w:rPr>
                <w:rFonts w:cs="Times New Roman"/>
                <w:b/>
              </w:rPr>
            </w:pPr>
            <w:r w:rsidRPr="00156B6F">
              <w:rPr>
                <w:rFonts w:cs="Times New Roman"/>
                <w:b/>
              </w:rPr>
              <w:t>10 Kern-aussagen</w:t>
            </w:r>
          </w:p>
          <w:p w14:paraId="126DBD6C" w14:textId="77777777" w:rsidR="00855F3F" w:rsidRPr="00156B6F" w:rsidRDefault="00855F3F" w:rsidP="00A05739">
            <w:pPr>
              <w:spacing w:before="120" w:after="120"/>
              <w:jc w:val="both"/>
              <w:rPr>
                <w:rFonts w:cs="Times New Roman"/>
              </w:rPr>
            </w:pPr>
            <w:r>
              <w:rPr>
                <w:rFonts w:cs="Times New Roman"/>
              </w:rPr>
              <w:t>(Einzel-arbeit)</w:t>
            </w:r>
          </w:p>
        </w:tc>
        <w:tc>
          <w:tcPr>
            <w:tcW w:w="1133" w:type="dxa"/>
          </w:tcPr>
          <w:p w14:paraId="17089561" w14:textId="77777777" w:rsidR="00855F3F" w:rsidRPr="00156B6F" w:rsidRDefault="00855F3F" w:rsidP="00A05739">
            <w:pPr>
              <w:spacing w:before="120" w:after="120"/>
              <w:jc w:val="both"/>
              <w:rPr>
                <w:rFonts w:cs="Times New Roman"/>
                <w:b/>
              </w:rPr>
            </w:pPr>
            <w:r w:rsidRPr="00156B6F">
              <w:rPr>
                <w:rFonts w:cs="Times New Roman"/>
                <w:b/>
              </w:rPr>
              <w:t>5 Kern-aussagen</w:t>
            </w:r>
          </w:p>
          <w:p w14:paraId="3F57661B" w14:textId="77777777" w:rsidR="00855F3F" w:rsidRPr="00156B6F" w:rsidRDefault="00855F3F" w:rsidP="00A05739">
            <w:pPr>
              <w:spacing w:before="120" w:after="120"/>
              <w:jc w:val="both"/>
              <w:rPr>
                <w:rFonts w:cs="Times New Roman"/>
              </w:rPr>
            </w:pPr>
            <w:r>
              <w:rPr>
                <w:rFonts w:cs="Times New Roman"/>
              </w:rPr>
              <w:t>(Gruppen-arbeit)</w:t>
            </w:r>
          </w:p>
        </w:tc>
      </w:tr>
      <w:tr w:rsidR="00855F3F" w14:paraId="002F60F3" w14:textId="77777777" w:rsidTr="00A05739">
        <w:tc>
          <w:tcPr>
            <w:tcW w:w="6799" w:type="dxa"/>
          </w:tcPr>
          <w:p w14:paraId="4EF49050"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über </w:t>
            </w:r>
            <w:r>
              <w:rPr>
                <w:rFonts w:ascii="Times New Roman" w:hAnsi="Times New Roman" w:cs="Times New Roman"/>
              </w:rPr>
              <w:t>ausreichendes</w:t>
            </w:r>
            <w:r w:rsidRPr="00156B6F">
              <w:rPr>
                <w:rFonts w:ascii="Times New Roman" w:hAnsi="Times New Roman" w:cs="Times New Roman"/>
              </w:rPr>
              <w:t xml:space="preserve"> politikwissenschaftliches Wissen verfügen (Weißeno, 2012).</w:t>
            </w:r>
          </w:p>
        </w:tc>
        <w:tc>
          <w:tcPr>
            <w:tcW w:w="1130" w:type="dxa"/>
          </w:tcPr>
          <w:p w14:paraId="17511EE3" w14:textId="77777777" w:rsidR="00855F3F" w:rsidRPr="00156B6F" w:rsidRDefault="00855F3F" w:rsidP="00A05739">
            <w:pPr>
              <w:spacing w:before="120" w:after="120"/>
              <w:jc w:val="both"/>
              <w:rPr>
                <w:rFonts w:cs="Times New Roman"/>
              </w:rPr>
            </w:pPr>
          </w:p>
        </w:tc>
        <w:tc>
          <w:tcPr>
            <w:tcW w:w="1133" w:type="dxa"/>
          </w:tcPr>
          <w:p w14:paraId="1E1AAB6E" w14:textId="77777777" w:rsidR="00855F3F" w:rsidRPr="00156B6F" w:rsidRDefault="00855F3F" w:rsidP="00A05739">
            <w:pPr>
              <w:spacing w:before="120" w:after="120"/>
              <w:jc w:val="both"/>
              <w:rPr>
                <w:rFonts w:cs="Times New Roman"/>
              </w:rPr>
            </w:pPr>
          </w:p>
        </w:tc>
      </w:tr>
      <w:tr w:rsidR="00855F3F" w14:paraId="3CDA1B72" w14:textId="77777777" w:rsidTr="00A05739">
        <w:tc>
          <w:tcPr>
            <w:tcW w:w="6799" w:type="dxa"/>
          </w:tcPr>
          <w:p w14:paraId="34A6F06B"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über </w:t>
            </w:r>
            <w:r>
              <w:rPr>
                <w:rFonts w:ascii="Times New Roman" w:hAnsi="Times New Roman" w:cs="Times New Roman"/>
              </w:rPr>
              <w:t>ausreichendes</w:t>
            </w:r>
            <w:r w:rsidRPr="00156B6F">
              <w:rPr>
                <w:rFonts w:ascii="Times New Roman" w:hAnsi="Times New Roman" w:cs="Times New Roman"/>
              </w:rPr>
              <w:t xml:space="preserve"> soziologisches Wissen verfügen (Bremer &amp; Gerdes, 2012).</w:t>
            </w:r>
          </w:p>
        </w:tc>
        <w:tc>
          <w:tcPr>
            <w:tcW w:w="1130" w:type="dxa"/>
          </w:tcPr>
          <w:p w14:paraId="0361FDD0" w14:textId="77777777" w:rsidR="00855F3F" w:rsidRPr="00156B6F" w:rsidRDefault="00855F3F" w:rsidP="00A05739">
            <w:pPr>
              <w:spacing w:before="120" w:after="120"/>
              <w:jc w:val="both"/>
              <w:rPr>
                <w:rFonts w:cs="Times New Roman"/>
              </w:rPr>
            </w:pPr>
          </w:p>
        </w:tc>
        <w:tc>
          <w:tcPr>
            <w:tcW w:w="1133" w:type="dxa"/>
          </w:tcPr>
          <w:p w14:paraId="6152B441" w14:textId="77777777" w:rsidR="00855F3F" w:rsidRPr="00156B6F" w:rsidRDefault="00855F3F" w:rsidP="00A05739">
            <w:pPr>
              <w:spacing w:before="120" w:after="120"/>
              <w:jc w:val="both"/>
              <w:rPr>
                <w:rFonts w:cs="Times New Roman"/>
              </w:rPr>
            </w:pPr>
          </w:p>
        </w:tc>
      </w:tr>
      <w:tr w:rsidR="00855F3F" w14:paraId="193D7EF7" w14:textId="77777777" w:rsidTr="00A05739">
        <w:tc>
          <w:tcPr>
            <w:tcW w:w="6799" w:type="dxa"/>
          </w:tcPr>
          <w:p w14:paraId="165BCB98"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über </w:t>
            </w:r>
            <w:r>
              <w:rPr>
                <w:rFonts w:ascii="Times New Roman" w:hAnsi="Times New Roman" w:cs="Times New Roman"/>
              </w:rPr>
              <w:t>ausreichendes</w:t>
            </w:r>
            <w:r w:rsidRPr="00156B6F">
              <w:rPr>
                <w:rFonts w:ascii="Times New Roman" w:hAnsi="Times New Roman" w:cs="Times New Roman"/>
              </w:rPr>
              <w:t xml:space="preserve"> wirtschaftswissenschaftliches Wissen verfügen (Lienig, 2015).</w:t>
            </w:r>
          </w:p>
        </w:tc>
        <w:tc>
          <w:tcPr>
            <w:tcW w:w="1130" w:type="dxa"/>
          </w:tcPr>
          <w:p w14:paraId="5A9E3E44" w14:textId="77777777" w:rsidR="00855F3F" w:rsidRPr="00156B6F" w:rsidRDefault="00855F3F" w:rsidP="00A05739">
            <w:pPr>
              <w:spacing w:before="120" w:after="120"/>
              <w:jc w:val="both"/>
              <w:rPr>
                <w:rFonts w:cs="Times New Roman"/>
              </w:rPr>
            </w:pPr>
          </w:p>
        </w:tc>
        <w:tc>
          <w:tcPr>
            <w:tcW w:w="1133" w:type="dxa"/>
          </w:tcPr>
          <w:p w14:paraId="03C78B73" w14:textId="77777777" w:rsidR="00855F3F" w:rsidRPr="00156B6F" w:rsidRDefault="00855F3F" w:rsidP="00A05739">
            <w:pPr>
              <w:spacing w:before="120" w:after="120"/>
              <w:jc w:val="both"/>
              <w:rPr>
                <w:rFonts w:cs="Times New Roman"/>
              </w:rPr>
            </w:pPr>
          </w:p>
        </w:tc>
      </w:tr>
      <w:tr w:rsidR="00855F3F" w14:paraId="3993140D" w14:textId="77777777" w:rsidTr="00A05739">
        <w:tc>
          <w:tcPr>
            <w:tcW w:w="6799" w:type="dxa"/>
          </w:tcPr>
          <w:p w14:paraId="673C8872"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über </w:t>
            </w:r>
            <w:r>
              <w:rPr>
                <w:rFonts w:ascii="Times New Roman" w:hAnsi="Times New Roman" w:cs="Times New Roman"/>
              </w:rPr>
              <w:t xml:space="preserve">ausreichendes </w:t>
            </w:r>
            <w:r w:rsidRPr="00156B6F">
              <w:rPr>
                <w:rFonts w:ascii="Times New Roman" w:hAnsi="Times New Roman" w:cs="Times New Roman"/>
              </w:rPr>
              <w:t>naturwissenschaftliches Wissen verfügen (Eilks et al., 2011).</w:t>
            </w:r>
          </w:p>
        </w:tc>
        <w:tc>
          <w:tcPr>
            <w:tcW w:w="1130" w:type="dxa"/>
          </w:tcPr>
          <w:p w14:paraId="184B5888" w14:textId="77777777" w:rsidR="00855F3F" w:rsidRPr="00156B6F" w:rsidRDefault="00855F3F" w:rsidP="00A05739">
            <w:pPr>
              <w:spacing w:before="120" w:after="120"/>
              <w:jc w:val="both"/>
              <w:rPr>
                <w:rFonts w:cs="Times New Roman"/>
              </w:rPr>
            </w:pPr>
          </w:p>
        </w:tc>
        <w:tc>
          <w:tcPr>
            <w:tcW w:w="1133" w:type="dxa"/>
          </w:tcPr>
          <w:p w14:paraId="1D900817" w14:textId="77777777" w:rsidR="00855F3F" w:rsidRPr="00156B6F" w:rsidRDefault="00855F3F" w:rsidP="00A05739">
            <w:pPr>
              <w:spacing w:before="120" w:after="120"/>
              <w:jc w:val="both"/>
              <w:rPr>
                <w:rFonts w:cs="Times New Roman"/>
              </w:rPr>
            </w:pPr>
          </w:p>
        </w:tc>
      </w:tr>
      <w:tr w:rsidR="00855F3F" w14:paraId="0F392039" w14:textId="77777777" w:rsidTr="00A05739">
        <w:tc>
          <w:tcPr>
            <w:tcW w:w="6799" w:type="dxa"/>
          </w:tcPr>
          <w:p w14:paraId="5A750B51"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über </w:t>
            </w:r>
            <w:r>
              <w:rPr>
                <w:rFonts w:ascii="Times New Roman" w:hAnsi="Times New Roman" w:cs="Times New Roman"/>
              </w:rPr>
              <w:t xml:space="preserve">ausreichendes </w:t>
            </w:r>
            <w:r w:rsidRPr="00156B6F">
              <w:rPr>
                <w:rFonts w:ascii="Times New Roman" w:hAnsi="Times New Roman" w:cs="Times New Roman"/>
              </w:rPr>
              <w:t>mathematisches Wissen verfügen (Niss, 1983).</w:t>
            </w:r>
          </w:p>
        </w:tc>
        <w:tc>
          <w:tcPr>
            <w:tcW w:w="1130" w:type="dxa"/>
          </w:tcPr>
          <w:p w14:paraId="573FFF09" w14:textId="77777777" w:rsidR="00855F3F" w:rsidRPr="00156B6F" w:rsidRDefault="00855F3F" w:rsidP="00A05739">
            <w:pPr>
              <w:spacing w:before="120" w:after="120"/>
              <w:jc w:val="both"/>
              <w:rPr>
                <w:rFonts w:cs="Times New Roman"/>
              </w:rPr>
            </w:pPr>
          </w:p>
        </w:tc>
        <w:tc>
          <w:tcPr>
            <w:tcW w:w="1133" w:type="dxa"/>
          </w:tcPr>
          <w:p w14:paraId="4D27E997" w14:textId="77777777" w:rsidR="00855F3F" w:rsidRPr="00156B6F" w:rsidRDefault="00855F3F" w:rsidP="00A05739">
            <w:pPr>
              <w:spacing w:before="120" w:after="120"/>
              <w:jc w:val="both"/>
              <w:rPr>
                <w:rFonts w:cs="Times New Roman"/>
              </w:rPr>
            </w:pPr>
          </w:p>
        </w:tc>
      </w:tr>
      <w:tr w:rsidR="00855F3F" w14:paraId="375DB09A" w14:textId="77777777" w:rsidTr="00A05739">
        <w:tc>
          <w:tcPr>
            <w:tcW w:w="6799" w:type="dxa"/>
          </w:tcPr>
          <w:p w14:paraId="1D95E06F"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über </w:t>
            </w:r>
            <w:r>
              <w:rPr>
                <w:rFonts w:ascii="Times New Roman" w:hAnsi="Times New Roman" w:cs="Times New Roman"/>
              </w:rPr>
              <w:t xml:space="preserve">ausreichendes </w:t>
            </w:r>
            <w:r w:rsidRPr="00156B6F">
              <w:rPr>
                <w:rFonts w:ascii="Times New Roman" w:hAnsi="Times New Roman" w:cs="Times New Roman"/>
              </w:rPr>
              <w:t>Wissen zu politischen und gesellschaftlichen Institutionen verfügen (Massing, 2014).</w:t>
            </w:r>
          </w:p>
        </w:tc>
        <w:tc>
          <w:tcPr>
            <w:tcW w:w="1130" w:type="dxa"/>
          </w:tcPr>
          <w:p w14:paraId="19CFBEDE" w14:textId="77777777" w:rsidR="00855F3F" w:rsidRPr="00156B6F" w:rsidRDefault="00855F3F" w:rsidP="00A05739">
            <w:pPr>
              <w:spacing w:before="120" w:after="120"/>
              <w:jc w:val="both"/>
              <w:rPr>
                <w:rFonts w:cs="Times New Roman"/>
              </w:rPr>
            </w:pPr>
          </w:p>
        </w:tc>
        <w:tc>
          <w:tcPr>
            <w:tcW w:w="1133" w:type="dxa"/>
          </w:tcPr>
          <w:p w14:paraId="51DA1B7F" w14:textId="77777777" w:rsidR="00855F3F" w:rsidRPr="00156B6F" w:rsidRDefault="00855F3F" w:rsidP="00A05739">
            <w:pPr>
              <w:spacing w:before="120" w:after="120"/>
              <w:jc w:val="both"/>
              <w:rPr>
                <w:rFonts w:cs="Times New Roman"/>
              </w:rPr>
            </w:pPr>
          </w:p>
        </w:tc>
      </w:tr>
      <w:tr w:rsidR="00855F3F" w14:paraId="71222BF4" w14:textId="77777777" w:rsidTr="00A05739">
        <w:tc>
          <w:tcPr>
            <w:tcW w:w="6799" w:type="dxa"/>
          </w:tcPr>
          <w:p w14:paraId="204CD924"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politische Phänomene als solche wahrnehmen können (Henkenborg, 2012).</w:t>
            </w:r>
          </w:p>
        </w:tc>
        <w:tc>
          <w:tcPr>
            <w:tcW w:w="1130" w:type="dxa"/>
          </w:tcPr>
          <w:p w14:paraId="3F3301B6" w14:textId="77777777" w:rsidR="00855F3F" w:rsidRPr="00156B6F" w:rsidRDefault="00855F3F" w:rsidP="00A05739">
            <w:pPr>
              <w:spacing w:before="120" w:after="120"/>
              <w:jc w:val="both"/>
              <w:rPr>
                <w:rFonts w:cs="Times New Roman"/>
              </w:rPr>
            </w:pPr>
          </w:p>
        </w:tc>
        <w:tc>
          <w:tcPr>
            <w:tcW w:w="1133" w:type="dxa"/>
          </w:tcPr>
          <w:p w14:paraId="22D56F79" w14:textId="77777777" w:rsidR="00855F3F" w:rsidRPr="00156B6F" w:rsidRDefault="00855F3F" w:rsidP="00A05739">
            <w:pPr>
              <w:spacing w:before="120" w:after="120"/>
              <w:jc w:val="both"/>
              <w:rPr>
                <w:rFonts w:cs="Times New Roman"/>
              </w:rPr>
            </w:pPr>
          </w:p>
        </w:tc>
      </w:tr>
      <w:tr w:rsidR="00855F3F" w14:paraId="0EA9EE8E" w14:textId="77777777" w:rsidTr="00A05739">
        <w:tc>
          <w:tcPr>
            <w:tcW w:w="6799" w:type="dxa"/>
          </w:tcPr>
          <w:p w14:paraId="46FD15EB"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in Bezug auf politische Probleme und Konflikte Aussagen über Zusammenhänge, Ursachen, Gesetzmäßigkeiten tätigen können (Henkenborg, 2012).</w:t>
            </w:r>
          </w:p>
        </w:tc>
        <w:tc>
          <w:tcPr>
            <w:tcW w:w="1130" w:type="dxa"/>
          </w:tcPr>
          <w:p w14:paraId="763EAFF6" w14:textId="77777777" w:rsidR="00855F3F" w:rsidRPr="00156B6F" w:rsidRDefault="00855F3F" w:rsidP="00A05739">
            <w:pPr>
              <w:spacing w:before="120" w:after="120"/>
              <w:jc w:val="both"/>
              <w:rPr>
                <w:rFonts w:cs="Times New Roman"/>
              </w:rPr>
            </w:pPr>
          </w:p>
        </w:tc>
        <w:tc>
          <w:tcPr>
            <w:tcW w:w="1133" w:type="dxa"/>
          </w:tcPr>
          <w:p w14:paraId="5DF1572B" w14:textId="77777777" w:rsidR="00855F3F" w:rsidRPr="00156B6F" w:rsidRDefault="00855F3F" w:rsidP="00A05739">
            <w:pPr>
              <w:spacing w:before="120" w:after="120"/>
              <w:jc w:val="both"/>
              <w:rPr>
                <w:rFonts w:cs="Times New Roman"/>
              </w:rPr>
            </w:pPr>
          </w:p>
        </w:tc>
      </w:tr>
      <w:tr w:rsidR="00855F3F" w14:paraId="5A5DCAE2" w14:textId="77777777" w:rsidTr="00A05739">
        <w:tc>
          <w:tcPr>
            <w:tcW w:w="6799" w:type="dxa"/>
          </w:tcPr>
          <w:p w14:paraId="28318093"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die Bedeutung politischer Entscheidungen für das eigene Leben erkennen können (Detjen et al., 2004).</w:t>
            </w:r>
          </w:p>
        </w:tc>
        <w:tc>
          <w:tcPr>
            <w:tcW w:w="1130" w:type="dxa"/>
          </w:tcPr>
          <w:p w14:paraId="0E1E49B8" w14:textId="77777777" w:rsidR="00855F3F" w:rsidRPr="00156B6F" w:rsidRDefault="00855F3F" w:rsidP="00A05739">
            <w:pPr>
              <w:spacing w:before="120" w:after="120"/>
              <w:jc w:val="both"/>
              <w:rPr>
                <w:rFonts w:cs="Times New Roman"/>
              </w:rPr>
            </w:pPr>
          </w:p>
        </w:tc>
        <w:tc>
          <w:tcPr>
            <w:tcW w:w="1133" w:type="dxa"/>
          </w:tcPr>
          <w:p w14:paraId="3AFEC1CE" w14:textId="77777777" w:rsidR="00855F3F" w:rsidRPr="00156B6F" w:rsidRDefault="00855F3F" w:rsidP="00A05739">
            <w:pPr>
              <w:spacing w:before="120" w:after="120"/>
              <w:jc w:val="both"/>
              <w:rPr>
                <w:rFonts w:cs="Times New Roman"/>
              </w:rPr>
            </w:pPr>
          </w:p>
        </w:tc>
      </w:tr>
      <w:tr w:rsidR="00855F3F" w14:paraId="318F36CD" w14:textId="77777777" w:rsidTr="00A05739">
        <w:tc>
          <w:tcPr>
            <w:tcW w:w="6799" w:type="dxa"/>
          </w:tcPr>
          <w:p w14:paraId="5B3D3224"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Folgen und Nebenfolgen politischer Entscheidungen reflektieren können, also nach möglichen, insbesondere auch nach unbeabsichtigten Wirkungszusammenhängen fragen (Detjen et al., 2004).</w:t>
            </w:r>
          </w:p>
        </w:tc>
        <w:tc>
          <w:tcPr>
            <w:tcW w:w="1130" w:type="dxa"/>
          </w:tcPr>
          <w:p w14:paraId="55B97A73" w14:textId="77777777" w:rsidR="00855F3F" w:rsidRPr="00156B6F" w:rsidRDefault="00855F3F" w:rsidP="00A05739">
            <w:pPr>
              <w:spacing w:before="120" w:after="120"/>
              <w:jc w:val="both"/>
              <w:rPr>
                <w:rFonts w:cs="Times New Roman"/>
              </w:rPr>
            </w:pPr>
          </w:p>
        </w:tc>
        <w:tc>
          <w:tcPr>
            <w:tcW w:w="1133" w:type="dxa"/>
          </w:tcPr>
          <w:p w14:paraId="479B72C8" w14:textId="77777777" w:rsidR="00855F3F" w:rsidRPr="00156B6F" w:rsidRDefault="00855F3F" w:rsidP="00A05739">
            <w:pPr>
              <w:spacing w:before="120" w:after="120"/>
              <w:jc w:val="both"/>
              <w:rPr>
                <w:rFonts w:cs="Times New Roman"/>
              </w:rPr>
            </w:pPr>
          </w:p>
        </w:tc>
      </w:tr>
      <w:tr w:rsidR="00855F3F" w14:paraId="773BDB56" w14:textId="77777777" w:rsidTr="00A05739">
        <w:tc>
          <w:tcPr>
            <w:tcW w:w="6799" w:type="dxa"/>
          </w:tcPr>
          <w:p w14:paraId="5E362FA3"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aktuelle politische Kontroversen auf mögliche Zusammenhänge mit Problemlagen hin analysieren, die aller Voraussicht nach über die Tagesaktualität hinausgehen</w:t>
            </w:r>
            <w:r>
              <w:rPr>
                <w:rFonts w:ascii="Times New Roman" w:hAnsi="Times New Roman" w:cs="Times New Roman"/>
              </w:rPr>
              <w:t xml:space="preserve"> </w:t>
            </w:r>
            <w:r w:rsidRPr="00156B6F">
              <w:rPr>
                <w:rFonts w:ascii="Times New Roman" w:hAnsi="Times New Roman" w:cs="Times New Roman"/>
              </w:rPr>
              <w:t>(Detjen et al., 2004).</w:t>
            </w:r>
          </w:p>
        </w:tc>
        <w:tc>
          <w:tcPr>
            <w:tcW w:w="1130" w:type="dxa"/>
          </w:tcPr>
          <w:p w14:paraId="5FCE5FE6" w14:textId="77777777" w:rsidR="00855F3F" w:rsidRPr="00156B6F" w:rsidRDefault="00855F3F" w:rsidP="00A05739">
            <w:pPr>
              <w:spacing w:before="120" w:after="120"/>
              <w:jc w:val="both"/>
              <w:rPr>
                <w:rFonts w:cs="Times New Roman"/>
              </w:rPr>
            </w:pPr>
          </w:p>
        </w:tc>
        <w:tc>
          <w:tcPr>
            <w:tcW w:w="1133" w:type="dxa"/>
          </w:tcPr>
          <w:p w14:paraId="0B41D2AD" w14:textId="77777777" w:rsidR="00855F3F" w:rsidRPr="00156B6F" w:rsidRDefault="00855F3F" w:rsidP="00A05739">
            <w:pPr>
              <w:spacing w:before="120" w:after="120"/>
              <w:jc w:val="both"/>
              <w:rPr>
                <w:rFonts w:cs="Times New Roman"/>
              </w:rPr>
            </w:pPr>
          </w:p>
        </w:tc>
      </w:tr>
      <w:tr w:rsidR="00855F3F" w14:paraId="7E4A9397" w14:textId="77777777" w:rsidTr="00A05739">
        <w:tc>
          <w:tcPr>
            <w:tcW w:w="6799" w:type="dxa"/>
          </w:tcPr>
          <w:p w14:paraId="4E5A5DB0"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politische Sachverhalte, Probleme und Entscheidungen in Beziehung setzen zu den Grundwerten demokratischer Systeme und kritisch reflektieren können (Detjen et al., 2004).</w:t>
            </w:r>
          </w:p>
        </w:tc>
        <w:tc>
          <w:tcPr>
            <w:tcW w:w="1130" w:type="dxa"/>
          </w:tcPr>
          <w:p w14:paraId="7BC9150E" w14:textId="77777777" w:rsidR="00855F3F" w:rsidRPr="00156B6F" w:rsidRDefault="00855F3F" w:rsidP="00A05739">
            <w:pPr>
              <w:spacing w:before="120" w:after="120"/>
              <w:jc w:val="both"/>
              <w:rPr>
                <w:rFonts w:cs="Times New Roman"/>
              </w:rPr>
            </w:pPr>
          </w:p>
        </w:tc>
        <w:tc>
          <w:tcPr>
            <w:tcW w:w="1133" w:type="dxa"/>
          </w:tcPr>
          <w:p w14:paraId="6C39BE68" w14:textId="77777777" w:rsidR="00855F3F" w:rsidRPr="00156B6F" w:rsidRDefault="00855F3F" w:rsidP="00A05739">
            <w:pPr>
              <w:spacing w:before="120" w:after="120"/>
              <w:jc w:val="both"/>
              <w:rPr>
                <w:rFonts w:cs="Times New Roman"/>
              </w:rPr>
            </w:pPr>
          </w:p>
        </w:tc>
      </w:tr>
      <w:tr w:rsidR="00855F3F" w14:paraId="68B48C32" w14:textId="77777777" w:rsidTr="00A05739">
        <w:tc>
          <w:tcPr>
            <w:tcW w:w="6799" w:type="dxa"/>
          </w:tcPr>
          <w:p w14:paraId="0E0CF2C8"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über die Fähigkeit verfügen, bei politischen Urteilen die Interessen, Motive und Gefühle von anderen im Sinne einer gemeinwohlorientierten Lösung von politischen Problemen, </w:t>
            </w:r>
            <w:r w:rsidRPr="00156B6F">
              <w:rPr>
                <w:rFonts w:ascii="Times New Roman" w:hAnsi="Times New Roman" w:cs="Times New Roman"/>
              </w:rPr>
              <w:lastRenderedPageBreak/>
              <w:t xml:space="preserve">Handlungs- und Entscheidungskonflikten einzunehmen (Henkenborg et al., 2012). </w:t>
            </w:r>
          </w:p>
        </w:tc>
        <w:tc>
          <w:tcPr>
            <w:tcW w:w="1130" w:type="dxa"/>
          </w:tcPr>
          <w:p w14:paraId="21CA9DED" w14:textId="77777777" w:rsidR="00855F3F" w:rsidRPr="00156B6F" w:rsidRDefault="00855F3F" w:rsidP="00A05739">
            <w:pPr>
              <w:spacing w:before="120" w:after="120"/>
              <w:jc w:val="both"/>
              <w:rPr>
                <w:rFonts w:cs="Times New Roman"/>
              </w:rPr>
            </w:pPr>
          </w:p>
        </w:tc>
        <w:tc>
          <w:tcPr>
            <w:tcW w:w="1133" w:type="dxa"/>
          </w:tcPr>
          <w:p w14:paraId="75195A92" w14:textId="77777777" w:rsidR="00855F3F" w:rsidRPr="00156B6F" w:rsidRDefault="00855F3F" w:rsidP="00A05739">
            <w:pPr>
              <w:spacing w:before="120" w:after="120"/>
              <w:jc w:val="both"/>
              <w:rPr>
                <w:rFonts w:cs="Times New Roman"/>
              </w:rPr>
            </w:pPr>
          </w:p>
        </w:tc>
      </w:tr>
      <w:tr w:rsidR="00855F3F" w14:paraId="2DFBB1E9" w14:textId="77777777" w:rsidTr="00A05739">
        <w:tc>
          <w:tcPr>
            <w:tcW w:w="6799" w:type="dxa"/>
          </w:tcPr>
          <w:p w14:paraId="71734F6D"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eigene politische Meinungen und Urteile – auch aus einer Minderheitenposition heraus – sachlich und überzeugend vertreten können (Detjen et al., 2004).</w:t>
            </w:r>
          </w:p>
        </w:tc>
        <w:tc>
          <w:tcPr>
            <w:tcW w:w="1130" w:type="dxa"/>
          </w:tcPr>
          <w:p w14:paraId="6FBAECB3" w14:textId="77777777" w:rsidR="00855F3F" w:rsidRPr="00156B6F" w:rsidRDefault="00855F3F" w:rsidP="00A05739">
            <w:pPr>
              <w:spacing w:before="120" w:after="120"/>
              <w:jc w:val="both"/>
              <w:rPr>
                <w:rFonts w:cs="Times New Roman"/>
              </w:rPr>
            </w:pPr>
          </w:p>
        </w:tc>
        <w:tc>
          <w:tcPr>
            <w:tcW w:w="1133" w:type="dxa"/>
          </w:tcPr>
          <w:p w14:paraId="711782A4" w14:textId="77777777" w:rsidR="00855F3F" w:rsidRPr="00156B6F" w:rsidRDefault="00855F3F" w:rsidP="00A05739">
            <w:pPr>
              <w:spacing w:before="120" w:after="120"/>
              <w:jc w:val="both"/>
              <w:rPr>
                <w:rFonts w:cs="Times New Roman"/>
              </w:rPr>
            </w:pPr>
          </w:p>
        </w:tc>
      </w:tr>
      <w:tr w:rsidR="00855F3F" w14:paraId="394621EB" w14:textId="77777777" w:rsidTr="00A05739">
        <w:tc>
          <w:tcPr>
            <w:tcW w:w="6799" w:type="dxa"/>
          </w:tcPr>
          <w:p w14:paraId="2BE4F384"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…in politischen Kontroversen konfliktfähig sein, aber auch Kompromisse schließen können (Detjen et al., 2004).</w:t>
            </w:r>
          </w:p>
        </w:tc>
        <w:tc>
          <w:tcPr>
            <w:tcW w:w="1130" w:type="dxa"/>
          </w:tcPr>
          <w:p w14:paraId="095EC774" w14:textId="77777777" w:rsidR="00855F3F" w:rsidRPr="00156B6F" w:rsidRDefault="00855F3F" w:rsidP="00A05739">
            <w:pPr>
              <w:spacing w:before="120" w:after="120"/>
              <w:jc w:val="both"/>
              <w:rPr>
                <w:rFonts w:cs="Times New Roman"/>
              </w:rPr>
            </w:pPr>
          </w:p>
        </w:tc>
        <w:tc>
          <w:tcPr>
            <w:tcW w:w="1133" w:type="dxa"/>
          </w:tcPr>
          <w:p w14:paraId="14165EF9" w14:textId="77777777" w:rsidR="00855F3F" w:rsidRPr="00156B6F" w:rsidRDefault="00855F3F" w:rsidP="00A05739">
            <w:pPr>
              <w:spacing w:before="120" w:after="120"/>
              <w:jc w:val="both"/>
              <w:rPr>
                <w:rFonts w:cs="Times New Roman"/>
              </w:rPr>
            </w:pPr>
          </w:p>
        </w:tc>
      </w:tr>
      <w:tr w:rsidR="00855F3F" w14:paraId="75A1AF69" w14:textId="77777777" w:rsidTr="00A05739">
        <w:tc>
          <w:tcPr>
            <w:tcW w:w="6799" w:type="dxa"/>
          </w:tcPr>
          <w:p w14:paraId="528FF555"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Beiträge zu politischen, ökonomischen und gesellschaftlichen Fragen für Medien realisieren, vom Leserbrief über die Website bis zu komplexeren Medienprodukten (Detjen et al., 2004).</w:t>
            </w:r>
          </w:p>
        </w:tc>
        <w:tc>
          <w:tcPr>
            <w:tcW w:w="1130" w:type="dxa"/>
          </w:tcPr>
          <w:p w14:paraId="77C3AA39" w14:textId="77777777" w:rsidR="00855F3F" w:rsidRPr="00156B6F" w:rsidRDefault="00855F3F" w:rsidP="00A05739">
            <w:pPr>
              <w:spacing w:before="120" w:after="120"/>
              <w:jc w:val="both"/>
              <w:rPr>
                <w:rFonts w:cs="Times New Roman"/>
              </w:rPr>
            </w:pPr>
          </w:p>
        </w:tc>
        <w:tc>
          <w:tcPr>
            <w:tcW w:w="1133" w:type="dxa"/>
          </w:tcPr>
          <w:p w14:paraId="28663F93" w14:textId="77777777" w:rsidR="00855F3F" w:rsidRPr="00156B6F" w:rsidRDefault="00855F3F" w:rsidP="00A05739">
            <w:pPr>
              <w:spacing w:before="120" w:after="120"/>
              <w:jc w:val="both"/>
              <w:rPr>
                <w:rFonts w:cs="Times New Roman"/>
              </w:rPr>
            </w:pPr>
          </w:p>
        </w:tc>
      </w:tr>
      <w:tr w:rsidR="00855F3F" w14:paraId="037096E3" w14:textId="77777777" w:rsidTr="00A05739">
        <w:tc>
          <w:tcPr>
            <w:tcW w:w="6799" w:type="dxa"/>
          </w:tcPr>
          <w:p w14:paraId="56D33426"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sich im Sinne von Perspektivenwechseln in die Situation, Interessen und Denkweisen anderer Menschen versetzen (Detjen et al., 2004).</w:t>
            </w:r>
          </w:p>
        </w:tc>
        <w:tc>
          <w:tcPr>
            <w:tcW w:w="1130" w:type="dxa"/>
          </w:tcPr>
          <w:p w14:paraId="7F8469F2" w14:textId="77777777" w:rsidR="00855F3F" w:rsidRPr="00156B6F" w:rsidRDefault="00855F3F" w:rsidP="00A05739">
            <w:pPr>
              <w:spacing w:before="120" w:after="120"/>
              <w:jc w:val="both"/>
              <w:rPr>
                <w:rFonts w:cs="Times New Roman"/>
              </w:rPr>
            </w:pPr>
          </w:p>
        </w:tc>
        <w:tc>
          <w:tcPr>
            <w:tcW w:w="1133" w:type="dxa"/>
          </w:tcPr>
          <w:p w14:paraId="15E16872" w14:textId="77777777" w:rsidR="00855F3F" w:rsidRPr="00156B6F" w:rsidRDefault="00855F3F" w:rsidP="00A05739">
            <w:pPr>
              <w:spacing w:before="120" w:after="120"/>
              <w:jc w:val="both"/>
              <w:rPr>
                <w:rFonts w:cs="Times New Roman"/>
              </w:rPr>
            </w:pPr>
          </w:p>
        </w:tc>
      </w:tr>
      <w:tr w:rsidR="00855F3F" w14:paraId="3A49A25C" w14:textId="77777777" w:rsidTr="00A05739">
        <w:tc>
          <w:tcPr>
            <w:tcW w:w="6799" w:type="dxa"/>
          </w:tcPr>
          <w:p w14:paraId="11594228"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mit kulturellen, sozialen und geschlechtsspezifischen Differenzen reflektiert umzugehen, was Toleranz und Offenheit, aber auch kritische Auseinandersetzung einschließen kann (Detjen et al., 2004).</w:t>
            </w:r>
          </w:p>
        </w:tc>
        <w:tc>
          <w:tcPr>
            <w:tcW w:w="1130" w:type="dxa"/>
          </w:tcPr>
          <w:p w14:paraId="284BBB25" w14:textId="77777777" w:rsidR="00855F3F" w:rsidRPr="00156B6F" w:rsidRDefault="00855F3F" w:rsidP="00A05739">
            <w:pPr>
              <w:spacing w:before="120" w:after="120"/>
              <w:jc w:val="both"/>
              <w:rPr>
                <w:rFonts w:cs="Times New Roman"/>
              </w:rPr>
            </w:pPr>
          </w:p>
        </w:tc>
        <w:tc>
          <w:tcPr>
            <w:tcW w:w="1133" w:type="dxa"/>
          </w:tcPr>
          <w:p w14:paraId="7C574045" w14:textId="77777777" w:rsidR="00855F3F" w:rsidRPr="00156B6F" w:rsidRDefault="00855F3F" w:rsidP="00A05739">
            <w:pPr>
              <w:spacing w:before="120" w:after="120"/>
              <w:jc w:val="both"/>
              <w:rPr>
                <w:rFonts w:cs="Times New Roman"/>
              </w:rPr>
            </w:pPr>
          </w:p>
        </w:tc>
      </w:tr>
      <w:tr w:rsidR="00855F3F" w14:paraId="2DAE63D8" w14:textId="77777777" w:rsidTr="00A05739">
        <w:tc>
          <w:tcPr>
            <w:tcW w:w="6799" w:type="dxa"/>
          </w:tcPr>
          <w:p w14:paraId="35E670AD"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in der Lage sind, die handlungsleitenden Bedürfnisse, Interessen, Haltungen und Werte in Bezug auf Gesellschaft, Ökonomie, Demokratie und Politik zu entwickeln und zu reflektieren (Henkenborg, 2012). </w:t>
            </w:r>
          </w:p>
        </w:tc>
        <w:tc>
          <w:tcPr>
            <w:tcW w:w="1130" w:type="dxa"/>
          </w:tcPr>
          <w:p w14:paraId="647D5ABD" w14:textId="77777777" w:rsidR="00855F3F" w:rsidRPr="00156B6F" w:rsidRDefault="00855F3F" w:rsidP="00A05739">
            <w:pPr>
              <w:spacing w:before="120" w:after="120"/>
              <w:jc w:val="both"/>
              <w:rPr>
                <w:rFonts w:cs="Times New Roman"/>
              </w:rPr>
            </w:pPr>
          </w:p>
        </w:tc>
        <w:tc>
          <w:tcPr>
            <w:tcW w:w="1133" w:type="dxa"/>
          </w:tcPr>
          <w:p w14:paraId="380EDFD9" w14:textId="77777777" w:rsidR="00855F3F" w:rsidRPr="00156B6F" w:rsidRDefault="00855F3F" w:rsidP="00A05739">
            <w:pPr>
              <w:spacing w:before="120" w:after="120"/>
              <w:jc w:val="both"/>
              <w:rPr>
                <w:rFonts w:cs="Times New Roman"/>
              </w:rPr>
            </w:pPr>
          </w:p>
        </w:tc>
      </w:tr>
      <w:tr w:rsidR="00855F3F" w14:paraId="00B6A5D3" w14:textId="77777777" w:rsidTr="00A05739">
        <w:tc>
          <w:tcPr>
            <w:tcW w:w="6799" w:type="dxa"/>
          </w:tcPr>
          <w:p w14:paraId="16393169"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Arbeitstechniken zur selbständigen Erarbeitung und Präsentation von politischen Sachverhalten anwenden können (Henkenborg, 2012).</w:t>
            </w:r>
          </w:p>
        </w:tc>
        <w:tc>
          <w:tcPr>
            <w:tcW w:w="1130" w:type="dxa"/>
          </w:tcPr>
          <w:p w14:paraId="2B2937C0" w14:textId="77777777" w:rsidR="00855F3F" w:rsidRPr="00156B6F" w:rsidRDefault="00855F3F" w:rsidP="00A05739">
            <w:pPr>
              <w:spacing w:before="120" w:after="120"/>
              <w:jc w:val="both"/>
              <w:rPr>
                <w:rFonts w:cs="Times New Roman"/>
              </w:rPr>
            </w:pPr>
          </w:p>
        </w:tc>
        <w:tc>
          <w:tcPr>
            <w:tcW w:w="1133" w:type="dxa"/>
          </w:tcPr>
          <w:p w14:paraId="674C99D6" w14:textId="77777777" w:rsidR="00855F3F" w:rsidRPr="00156B6F" w:rsidRDefault="00855F3F" w:rsidP="00A05739">
            <w:pPr>
              <w:spacing w:before="120" w:after="120"/>
              <w:jc w:val="both"/>
              <w:rPr>
                <w:rFonts w:cs="Times New Roman"/>
              </w:rPr>
            </w:pPr>
          </w:p>
        </w:tc>
      </w:tr>
      <w:tr w:rsidR="00855F3F" w14:paraId="582C05D1" w14:textId="77777777" w:rsidTr="00A05739">
        <w:tc>
          <w:tcPr>
            <w:tcW w:w="6799" w:type="dxa"/>
          </w:tcPr>
          <w:p w14:paraId="7A044586"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über die Fähigkeit verfügen, Medien für die Informationsgewinnung und politische Meinungsbildung einzusetzen und diese kritisch zu reflektieren (Oberle, 2017). </w:t>
            </w:r>
          </w:p>
        </w:tc>
        <w:tc>
          <w:tcPr>
            <w:tcW w:w="1130" w:type="dxa"/>
          </w:tcPr>
          <w:p w14:paraId="10EC1687" w14:textId="77777777" w:rsidR="00855F3F" w:rsidRPr="00156B6F" w:rsidRDefault="00855F3F" w:rsidP="00A05739">
            <w:pPr>
              <w:spacing w:before="120" w:after="120"/>
              <w:jc w:val="both"/>
              <w:rPr>
                <w:rFonts w:cs="Times New Roman"/>
              </w:rPr>
            </w:pPr>
          </w:p>
        </w:tc>
        <w:tc>
          <w:tcPr>
            <w:tcW w:w="1133" w:type="dxa"/>
          </w:tcPr>
          <w:p w14:paraId="4C28E6D3" w14:textId="77777777" w:rsidR="00855F3F" w:rsidRPr="00156B6F" w:rsidRDefault="00855F3F" w:rsidP="00A05739">
            <w:pPr>
              <w:spacing w:before="120" w:after="120"/>
              <w:jc w:val="both"/>
              <w:rPr>
                <w:rFonts w:cs="Times New Roman"/>
              </w:rPr>
            </w:pPr>
          </w:p>
        </w:tc>
      </w:tr>
      <w:tr w:rsidR="00855F3F" w14:paraId="75FABB51" w14:textId="77777777" w:rsidTr="00A05739">
        <w:tc>
          <w:tcPr>
            <w:tcW w:w="6799" w:type="dxa"/>
          </w:tcPr>
          <w:p w14:paraId="2BE8029C"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Ursachen von Selbstbeschränkungen, Fremdbestimmung</w:t>
            </w:r>
            <w:r>
              <w:rPr>
                <w:rFonts w:ascii="Times New Roman" w:hAnsi="Times New Roman" w:cs="Times New Roman"/>
              </w:rPr>
              <w:t xml:space="preserve"> </w:t>
            </w:r>
            <w:r w:rsidRPr="00156B6F">
              <w:rPr>
                <w:rFonts w:ascii="Times New Roman" w:hAnsi="Times New Roman" w:cs="Times New Roman"/>
              </w:rPr>
              <w:t>und illegitimen Herrschaftsansprüchen als Rahmenbedingungen politischen Lernens kritisch zu hinterfragen (Eis, 2012).</w:t>
            </w:r>
          </w:p>
        </w:tc>
        <w:tc>
          <w:tcPr>
            <w:tcW w:w="1130" w:type="dxa"/>
          </w:tcPr>
          <w:p w14:paraId="7EB8F2C9" w14:textId="77777777" w:rsidR="00855F3F" w:rsidRPr="00156B6F" w:rsidRDefault="00855F3F" w:rsidP="00A05739">
            <w:pPr>
              <w:spacing w:before="120" w:after="120"/>
              <w:jc w:val="both"/>
              <w:rPr>
                <w:rFonts w:cs="Times New Roman"/>
              </w:rPr>
            </w:pPr>
          </w:p>
        </w:tc>
        <w:tc>
          <w:tcPr>
            <w:tcW w:w="1133" w:type="dxa"/>
          </w:tcPr>
          <w:p w14:paraId="1846FA3D" w14:textId="77777777" w:rsidR="00855F3F" w:rsidRPr="00156B6F" w:rsidRDefault="00855F3F" w:rsidP="00A05739">
            <w:pPr>
              <w:spacing w:before="120" w:after="120"/>
              <w:jc w:val="both"/>
              <w:rPr>
                <w:rFonts w:cs="Times New Roman"/>
              </w:rPr>
            </w:pPr>
          </w:p>
        </w:tc>
      </w:tr>
      <w:tr w:rsidR="00855F3F" w14:paraId="12ECC0CA" w14:textId="77777777" w:rsidTr="00A05739">
        <w:tc>
          <w:tcPr>
            <w:tcW w:w="6799" w:type="dxa"/>
          </w:tcPr>
          <w:p w14:paraId="2EF1055E"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über die Fähigkeit zum Widerspruch und zum Widerstand gegen Prozesse der Entdemokratisierung, zunehmender Ausgrenzung und sozialer Ungleichheit verfügen (Eis, 2012).</w:t>
            </w:r>
          </w:p>
        </w:tc>
        <w:tc>
          <w:tcPr>
            <w:tcW w:w="1130" w:type="dxa"/>
          </w:tcPr>
          <w:p w14:paraId="6F67B333" w14:textId="77777777" w:rsidR="00855F3F" w:rsidRPr="00156B6F" w:rsidRDefault="00855F3F" w:rsidP="00A05739">
            <w:pPr>
              <w:spacing w:before="120" w:after="120"/>
              <w:jc w:val="both"/>
              <w:rPr>
                <w:rFonts w:cs="Times New Roman"/>
              </w:rPr>
            </w:pPr>
          </w:p>
        </w:tc>
        <w:tc>
          <w:tcPr>
            <w:tcW w:w="1133" w:type="dxa"/>
          </w:tcPr>
          <w:p w14:paraId="78529360" w14:textId="77777777" w:rsidR="00855F3F" w:rsidRPr="00156B6F" w:rsidRDefault="00855F3F" w:rsidP="00A05739">
            <w:pPr>
              <w:spacing w:before="120" w:after="120"/>
              <w:jc w:val="both"/>
              <w:rPr>
                <w:rFonts w:cs="Times New Roman"/>
              </w:rPr>
            </w:pPr>
          </w:p>
        </w:tc>
      </w:tr>
      <w:tr w:rsidR="00855F3F" w14:paraId="52D75379" w14:textId="77777777" w:rsidTr="00A05739">
        <w:trPr>
          <w:trHeight w:val="853"/>
        </w:trPr>
        <w:tc>
          <w:tcPr>
            <w:tcW w:w="6799" w:type="dxa"/>
          </w:tcPr>
          <w:p w14:paraId="1FACC30D"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sidRPr="00156B6F">
              <w:rPr>
                <w:rFonts w:ascii="Times New Roman" w:hAnsi="Times New Roman" w:cs="Times New Roman"/>
              </w:rPr>
              <w:t xml:space="preserve">… über sozial erwünschte Einstellungen und Handlungsbereitschaften sowie politische Entdeckungsfreude verfügen (Himmelmann, 2004). </w:t>
            </w:r>
          </w:p>
        </w:tc>
        <w:tc>
          <w:tcPr>
            <w:tcW w:w="1130" w:type="dxa"/>
          </w:tcPr>
          <w:p w14:paraId="41C39001" w14:textId="77777777" w:rsidR="00855F3F" w:rsidRPr="00156B6F" w:rsidRDefault="00855F3F" w:rsidP="00A05739">
            <w:pPr>
              <w:spacing w:before="120" w:after="120"/>
              <w:jc w:val="both"/>
              <w:rPr>
                <w:rFonts w:cs="Times New Roman"/>
              </w:rPr>
            </w:pPr>
          </w:p>
        </w:tc>
        <w:tc>
          <w:tcPr>
            <w:tcW w:w="1133" w:type="dxa"/>
          </w:tcPr>
          <w:p w14:paraId="06785EBE" w14:textId="77777777" w:rsidR="00855F3F" w:rsidRPr="00156B6F" w:rsidRDefault="00855F3F" w:rsidP="00A05739">
            <w:pPr>
              <w:spacing w:before="120" w:after="120"/>
              <w:jc w:val="both"/>
              <w:rPr>
                <w:rFonts w:cs="Times New Roman"/>
              </w:rPr>
            </w:pPr>
          </w:p>
        </w:tc>
      </w:tr>
      <w:tr w:rsidR="00855F3F" w14:paraId="4A7B1912" w14:textId="77777777" w:rsidTr="00A05739">
        <w:trPr>
          <w:trHeight w:val="853"/>
        </w:trPr>
        <w:tc>
          <w:tcPr>
            <w:tcW w:w="6799" w:type="dxa"/>
          </w:tcPr>
          <w:p w14:paraId="29AA287E" w14:textId="77777777" w:rsidR="00855F3F" w:rsidRPr="00156B6F" w:rsidRDefault="00855F3F" w:rsidP="00A05739">
            <w:pPr>
              <w:pStyle w:val="Listenabsatz"/>
              <w:numPr>
                <w:ilvl w:val="0"/>
                <w:numId w:val="8"/>
              </w:numPr>
              <w:spacing w:before="120" w:after="120" w:line="240" w:lineRule="auto"/>
              <w:jc w:val="both"/>
              <w:rPr>
                <w:rFonts w:ascii="Times New Roman" w:hAnsi="Times New Roman" w:cs="Times New Roman"/>
              </w:rPr>
            </w:pPr>
            <w:r>
              <w:rPr>
                <w:rFonts w:ascii="Times New Roman" w:hAnsi="Times New Roman" w:cs="Times New Roman"/>
              </w:rPr>
              <w:t xml:space="preserve">… ein </w:t>
            </w:r>
            <w:r w:rsidRPr="002D61FC">
              <w:rPr>
                <w:rFonts w:ascii="Times New Roman" w:hAnsi="Times New Roman" w:cs="Times New Roman"/>
              </w:rPr>
              <w:t>Vertrauen in demokratische Prinzipien</w:t>
            </w:r>
            <w:r>
              <w:rPr>
                <w:rFonts w:ascii="Times New Roman" w:hAnsi="Times New Roman" w:cs="Times New Roman"/>
              </w:rPr>
              <w:t xml:space="preserve"> zeigen (Himmelmann, 2005)</w:t>
            </w:r>
          </w:p>
        </w:tc>
        <w:tc>
          <w:tcPr>
            <w:tcW w:w="1130" w:type="dxa"/>
          </w:tcPr>
          <w:p w14:paraId="7FE033F3" w14:textId="77777777" w:rsidR="00855F3F" w:rsidRPr="00156B6F" w:rsidRDefault="00855F3F" w:rsidP="00A05739">
            <w:pPr>
              <w:spacing w:before="120" w:after="120"/>
              <w:jc w:val="both"/>
              <w:rPr>
                <w:rFonts w:cs="Times New Roman"/>
              </w:rPr>
            </w:pPr>
          </w:p>
        </w:tc>
        <w:tc>
          <w:tcPr>
            <w:tcW w:w="1133" w:type="dxa"/>
          </w:tcPr>
          <w:p w14:paraId="5735EABC" w14:textId="77777777" w:rsidR="00855F3F" w:rsidRPr="00156B6F" w:rsidRDefault="00855F3F" w:rsidP="00A05739">
            <w:pPr>
              <w:spacing w:before="120" w:after="120"/>
              <w:jc w:val="both"/>
              <w:rPr>
                <w:rFonts w:cs="Times New Roman"/>
              </w:rPr>
            </w:pPr>
          </w:p>
        </w:tc>
      </w:tr>
    </w:tbl>
    <w:p w14:paraId="6F7D9B28" w14:textId="77777777" w:rsidR="00855F3F" w:rsidRDefault="00855F3F" w:rsidP="00855F3F">
      <w:pPr>
        <w:jc w:val="both"/>
        <w:rPr>
          <w:rFonts w:cs="Times New Roman"/>
          <w:sz w:val="24"/>
          <w:szCs w:val="24"/>
        </w:rPr>
      </w:pPr>
    </w:p>
    <w:p w14:paraId="40B642A5" w14:textId="77777777" w:rsidR="00855F3F" w:rsidRDefault="00855F3F" w:rsidP="00855F3F">
      <w:pPr>
        <w:jc w:val="both"/>
        <w:rPr>
          <w:rFonts w:cs="Times New Roman"/>
          <w:sz w:val="24"/>
          <w:szCs w:val="24"/>
        </w:rPr>
      </w:pPr>
    </w:p>
    <w:p w14:paraId="2B278A2F" w14:textId="77777777" w:rsidR="00855F3F" w:rsidRDefault="00855F3F" w:rsidP="00855F3F">
      <w:pPr>
        <w:jc w:val="both"/>
        <w:rPr>
          <w:rFonts w:cs="Times New Roman"/>
          <w:sz w:val="24"/>
          <w:szCs w:val="24"/>
        </w:rPr>
      </w:pPr>
    </w:p>
    <w:p w14:paraId="26ED098A" w14:textId="77777777" w:rsidR="00855F3F" w:rsidRDefault="00855F3F" w:rsidP="00855F3F">
      <w:pPr>
        <w:jc w:val="both"/>
        <w:rPr>
          <w:rFonts w:cs="Times New Roman"/>
          <w:sz w:val="24"/>
          <w:szCs w:val="24"/>
        </w:rPr>
      </w:pPr>
    </w:p>
    <w:p w14:paraId="6E93AC27" w14:textId="77777777" w:rsidR="00855F3F" w:rsidRPr="00995F6C" w:rsidRDefault="00855F3F" w:rsidP="00855F3F">
      <w:pPr>
        <w:jc w:val="both"/>
        <w:rPr>
          <w:rFonts w:cs="Times New Roman"/>
          <w:sz w:val="24"/>
          <w:szCs w:val="24"/>
          <w:u w:val="single"/>
        </w:rPr>
      </w:pPr>
      <w:r w:rsidRPr="00995F6C">
        <w:rPr>
          <w:rFonts w:cs="Times New Roman"/>
          <w:sz w:val="24"/>
          <w:szCs w:val="24"/>
          <w:u w:val="single"/>
        </w:rPr>
        <w:t>Literatur</w:t>
      </w:r>
    </w:p>
    <w:p w14:paraId="324036C6"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Bremer, H. &amp; Gerdes, J. (2012). Politische Bildung. In U. Bauer, U. H. Bittlingmayer &amp; A. Scherr (Hrsg.), </w:t>
      </w:r>
      <w:r w:rsidRPr="009659E5">
        <w:rPr>
          <w:rFonts w:ascii="Times New Roman" w:hAnsi="Times New Roman" w:cs="Times New Roman"/>
          <w:i/>
          <w:iCs/>
          <w:sz w:val="24"/>
        </w:rPr>
        <w:t xml:space="preserve">Handbuch Bildungs- und Erziehungssoziologie </w:t>
      </w:r>
      <w:r w:rsidRPr="009659E5">
        <w:rPr>
          <w:rFonts w:ascii="Times New Roman" w:hAnsi="Times New Roman" w:cs="Times New Roman"/>
          <w:sz w:val="24"/>
        </w:rPr>
        <w:t>(S. 683–701). VS Verlag für Sozialwissenschaften. https://doi.org/10.1007/978-3-531-18944-4_41</w:t>
      </w:r>
    </w:p>
    <w:p w14:paraId="64822544"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Detjen, J., Kuhn, H.-W., Massing, P., Richter, D., Sander, W. &amp; Weißeno, G. (2004). </w:t>
      </w:r>
      <w:r w:rsidRPr="009659E5">
        <w:rPr>
          <w:rFonts w:ascii="Times New Roman" w:hAnsi="Times New Roman" w:cs="Times New Roman"/>
          <w:i/>
          <w:iCs/>
          <w:sz w:val="24"/>
        </w:rPr>
        <w:t xml:space="preserve">Anforderung an nationale Bindusstandards für den Fachunterricht in </w:t>
      </w:r>
      <w:r>
        <w:rPr>
          <w:rFonts w:ascii="Times New Roman" w:hAnsi="Times New Roman" w:cs="Times New Roman"/>
          <w:i/>
          <w:iCs/>
          <w:sz w:val="24"/>
        </w:rPr>
        <w:t>der politischen Bildung an Schul</w:t>
      </w:r>
      <w:r w:rsidRPr="009659E5">
        <w:rPr>
          <w:rFonts w:ascii="Times New Roman" w:hAnsi="Times New Roman" w:cs="Times New Roman"/>
          <w:i/>
          <w:iCs/>
          <w:sz w:val="24"/>
        </w:rPr>
        <w:t>en</w:t>
      </w:r>
      <w:r w:rsidRPr="009659E5">
        <w:rPr>
          <w:rFonts w:ascii="Times New Roman" w:hAnsi="Times New Roman" w:cs="Times New Roman"/>
          <w:sz w:val="24"/>
        </w:rPr>
        <w:t xml:space="preserve">. Wochenschau Verlag. </w:t>
      </w:r>
    </w:p>
    <w:p w14:paraId="6FDC8BA6"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Eilks, I., Feierabend, T., Hößle, C., Höttecke, D., Menthe, J., Mrochen, M. &amp; Oelgeklaus, H. (2011). Bewerten lernen und Klimawandel in vier Fächern: Einblicke in das Projekt »Der Klimawandel vor Gericht« (Teil 2). </w:t>
      </w:r>
      <w:r w:rsidRPr="009659E5">
        <w:rPr>
          <w:rFonts w:ascii="Times New Roman" w:hAnsi="Times New Roman" w:cs="Times New Roman"/>
          <w:i/>
          <w:iCs/>
          <w:sz w:val="24"/>
        </w:rPr>
        <w:t>Der mathematische und naturwissenschaftliche Unterricht (MNU)</w:t>
      </w:r>
      <w:r w:rsidRPr="009659E5">
        <w:rPr>
          <w:rFonts w:ascii="Times New Roman" w:hAnsi="Times New Roman" w:cs="Times New Roman"/>
          <w:sz w:val="24"/>
        </w:rPr>
        <w:t xml:space="preserve">, </w:t>
      </w:r>
      <w:r w:rsidRPr="009659E5">
        <w:rPr>
          <w:rFonts w:ascii="Times New Roman" w:hAnsi="Times New Roman" w:cs="Times New Roman"/>
          <w:i/>
          <w:iCs/>
          <w:sz w:val="24"/>
        </w:rPr>
        <w:t>64</w:t>
      </w:r>
      <w:r w:rsidRPr="009659E5">
        <w:rPr>
          <w:rFonts w:ascii="Times New Roman" w:hAnsi="Times New Roman" w:cs="Times New Roman"/>
          <w:sz w:val="24"/>
        </w:rPr>
        <w:t>(2), 72–78.</w:t>
      </w:r>
    </w:p>
    <w:p w14:paraId="7AE6595C"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Eis, A. (2012). Mythos Mündigkeit – oder Erziehung zum funktionalen Subjekt: Positionspapier zur Tagung: „Was heißt heute Kritische Politische Bildung? </w:t>
      </w:r>
      <w:r w:rsidRPr="009659E5">
        <w:rPr>
          <w:rFonts w:ascii="Times New Roman" w:hAnsi="Times New Roman" w:cs="Times New Roman"/>
          <w:i/>
          <w:iCs/>
          <w:sz w:val="24"/>
        </w:rPr>
        <w:t>Politik Unterrichten</w:t>
      </w:r>
      <w:r w:rsidRPr="009659E5">
        <w:rPr>
          <w:rFonts w:ascii="Times New Roman" w:hAnsi="Times New Roman" w:cs="Times New Roman"/>
          <w:sz w:val="24"/>
        </w:rPr>
        <w:t>(1).</w:t>
      </w:r>
    </w:p>
    <w:p w14:paraId="71FF1A93"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Henkenborg, P. (2012). Politische Urteilsfähigkeit als politische Kompetenz in der Demokratie: der Dreiklang von Analysieren, Urteilen Handeln. </w:t>
      </w:r>
      <w:r w:rsidRPr="009659E5">
        <w:rPr>
          <w:rFonts w:ascii="Times New Roman" w:hAnsi="Times New Roman" w:cs="Times New Roman"/>
          <w:i/>
          <w:iCs/>
          <w:sz w:val="24"/>
        </w:rPr>
        <w:t>Zeitschrift für Didaktik der Gesellschaftswissenschaften</w:t>
      </w:r>
      <w:r w:rsidRPr="009659E5">
        <w:rPr>
          <w:rFonts w:ascii="Times New Roman" w:hAnsi="Times New Roman" w:cs="Times New Roman"/>
          <w:sz w:val="24"/>
        </w:rPr>
        <w:t xml:space="preserve">, </w:t>
      </w:r>
      <w:r w:rsidRPr="009659E5">
        <w:rPr>
          <w:rFonts w:ascii="Times New Roman" w:hAnsi="Times New Roman" w:cs="Times New Roman"/>
          <w:i/>
          <w:iCs/>
          <w:sz w:val="24"/>
        </w:rPr>
        <w:t>3</w:t>
      </w:r>
      <w:r w:rsidRPr="009659E5">
        <w:rPr>
          <w:rFonts w:ascii="Times New Roman" w:hAnsi="Times New Roman" w:cs="Times New Roman"/>
          <w:sz w:val="24"/>
        </w:rPr>
        <w:t>(2), 28-50.</w:t>
      </w:r>
    </w:p>
    <w:p w14:paraId="62AB78DB"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Himmelmann, G. (2004). </w:t>
      </w:r>
      <w:r w:rsidRPr="009659E5">
        <w:rPr>
          <w:rFonts w:ascii="Times New Roman" w:hAnsi="Times New Roman" w:cs="Times New Roman"/>
          <w:i/>
          <w:iCs/>
          <w:sz w:val="24"/>
        </w:rPr>
        <w:t xml:space="preserve">Demokratie-Lernen: Was? Warum? Wozu? </w:t>
      </w:r>
      <w:r w:rsidRPr="009659E5">
        <w:rPr>
          <w:rFonts w:ascii="Times New Roman" w:hAnsi="Times New Roman" w:cs="Times New Roman"/>
          <w:sz w:val="24"/>
        </w:rPr>
        <w:t xml:space="preserve">(Beiträge zur Demokratiepädagogik). Berlin. </w:t>
      </w:r>
    </w:p>
    <w:p w14:paraId="67484259"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Himmelmann, G. (2005). </w:t>
      </w:r>
      <w:r w:rsidRPr="009659E5">
        <w:rPr>
          <w:rFonts w:ascii="Times New Roman" w:hAnsi="Times New Roman" w:cs="Times New Roman"/>
          <w:i/>
          <w:iCs/>
          <w:sz w:val="24"/>
        </w:rPr>
        <w:t xml:space="preserve">Was ist Demokratiekompetenz? Ein Vergleich von Kompetenzmodellen unter Berücksichtigung internationaler Ansätze </w:t>
      </w:r>
      <w:r w:rsidRPr="009659E5">
        <w:rPr>
          <w:rFonts w:ascii="Times New Roman" w:hAnsi="Times New Roman" w:cs="Times New Roman"/>
          <w:sz w:val="24"/>
        </w:rPr>
        <w:t xml:space="preserve">(Beiträge zur Demokratiepädagogik). Berlin. </w:t>
      </w:r>
    </w:p>
    <w:p w14:paraId="5A263389"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Liening, A. (2015). </w:t>
      </w:r>
      <w:r w:rsidRPr="009659E5">
        <w:rPr>
          <w:rFonts w:ascii="Times New Roman" w:hAnsi="Times New Roman" w:cs="Times New Roman"/>
          <w:i/>
          <w:iCs/>
          <w:sz w:val="24"/>
        </w:rPr>
        <w:t>Ökonomische Bildung: Grundlagen und neue synergetische Ansätze</w:t>
      </w:r>
      <w:r w:rsidRPr="009659E5">
        <w:rPr>
          <w:rFonts w:ascii="Times New Roman" w:hAnsi="Times New Roman" w:cs="Times New Roman"/>
          <w:sz w:val="24"/>
        </w:rPr>
        <w:t xml:space="preserve">. Springer VS Verl. für Sozialwiss. </w:t>
      </w:r>
    </w:p>
    <w:p w14:paraId="0693FB7F" w14:textId="77777777" w:rsidR="00855F3F" w:rsidRPr="009659E5" w:rsidRDefault="00855F3F" w:rsidP="00855F3F">
      <w:pPr>
        <w:pStyle w:val="CitaviLiteraturverzeichnis"/>
        <w:rPr>
          <w:rFonts w:ascii="Times New Roman" w:hAnsi="Times New Roman" w:cs="Times New Roman"/>
          <w:sz w:val="24"/>
          <w:lang w:val="en-US"/>
        </w:rPr>
      </w:pPr>
      <w:r w:rsidRPr="009659E5">
        <w:rPr>
          <w:rFonts w:ascii="Times New Roman" w:hAnsi="Times New Roman" w:cs="Times New Roman"/>
          <w:sz w:val="24"/>
        </w:rPr>
        <w:t xml:space="preserve">Massing, P. (2014). Institutionenkundliches Lernen. In W. Sander (Hrsg.), </w:t>
      </w:r>
      <w:r w:rsidRPr="009659E5">
        <w:rPr>
          <w:rFonts w:ascii="Times New Roman" w:hAnsi="Times New Roman" w:cs="Times New Roman"/>
          <w:i/>
          <w:iCs/>
          <w:sz w:val="24"/>
        </w:rPr>
        <w:t xml:space="preserve">Handbuch politische Bildung </w:t>
      </w:r>
      <w:r w:rsidRPr="009659E5">
        <w:rPr>
          <w:rFonts w:ascii="Times New Roman" w:hAnsi="Times New Roman" w:cs="Times New Roman"/>
          <w:sz w:val="24"/>
        </w:rPr>
        <w:t xml:space="preserve">(S. 295–302). </w:t>
      </w:r>
      <w:r w:rsidRPr="009659E5">
        <w:rPr>
          <w:rFonts w:ascii="Times New Roman" w:hAnsi="Times New Roman" w:cs="Times New Roman"/>
          <w:sz w:val="24"/>
          <w:lang w:val="en-US"/>
        </w:rPr>
        <w:t>Wochenschau Verlag.</w:t>
      </w:r>
    </w:p>
    <w:p w14:paraId="7623D9C0"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lang w:val="en-US"/>
        </w:rPr>
        <w:t xml:space="preserve">Niss, M. (1983). Considerations and experiences concerning integrated courses in mathematics and other subjects. In M. J. Zweng, T. Green, J. Kilpatrick, H. O. Pollak &amp; M. Suydam (Hrsg.), </w:t>
      </w:r>
      <w:r w:rsidRPr="009659E5">
        <w:rPr>
          <w:rFonts w:ascii="Times New Roman" w:hAnsi="Times New Roman" w:cs="Times New Roman"/>
          <w:i/>
          <w:iCs/>
          <w:sz w:val="24"/>
          <w:lang w:val="en-US"/>
        </w:rPr>
        <w:t xml:space="preserve">Proceedings of the Fourth International Congress on Mathematical Education </w:t>
      </w:r>
      <w:r w:rsidRPr="009659E5">
        <w:rPr>
          <w:rFonts w:ascii="Times New Roman" w:hAnsi="Times New Roman" w:cs="Times New Roman"/>
          <w:sz w:val="24"/>
          <w:lang w:val="en-US"/>
        </w:rPr>
        <w:t xml:space="preserve">(S. 247–249). </w:t>
      </w:r>
      <w:r w:rsidRPr="009659E5">
        <w:rPr>
          <w:rFonts w:ascii="Times New Roman" w:hAnsi="Times New Roman" w:cs="Times New Roman"/>
          <w:sz w:val="24"/>
        </w:rPr>
        <w:t>Birkhäuser Boston.</w:t>
      </w:r>
    </w:p>
    <w:p w14:paraId="586597CE"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Oberle, M. (2017). Medienkompetenz als Herausforderung für die politische Bildung. In H. Gapski, M. Oberle &amp; W. Staufer (Hrsg.), </w:t>
      </w:r>
      <w:r w:rsidRPr="009659E5">
        <w:rPr>
          <w:rFonts w:ascii="Times New Roman" w:hAnsi="Times New Roman" w:cs="Times New Roman"/>
          <w:i/>
          <w:iCs/>
          <w:sz w:val="24"/>
        </w:rPr>
        <w:t xml:space="preserve">Medienkompetenz: Herausforderung für Politik, politische Bildung und Medienbildung </w:t>
      </w:r>
      <w:r w:rsidRPr="009659E5">
        <w:rPr>
          <w:rFonts w:ascii="Times New Roman" w:hAnsi="Times New Roman" w:cs="Times New Roman"/>
          <w:sz w:val="24"/>
        </w:rPr>
        <w:t>(S. 187–196). Bundeszentrale für Politische Bildung.</w:t>
      </w:r>
    </w:p>
    <w:p w14:paraId="4C7D99D2" w14:textId="77777777" w:rsidR="00855F3F" w:rsidRPr="009659E5" w:rsidRDefault="00855F3F" w:rsidP="00855F3F">
      <w:pPr>
        <w:pStyle w:val="CitaviLiteraturverzeichnis"/>
        <w:rPr>
          <w:rFonts w:ascii="Times New Roman" w:hAnsi="Times New Roman" w:cs="Times New Roman"/>
          <w:sz w:val="24"/>
        </w:rPr>
      </w:pPr>
      <w:r w:rsidRPr="009659E5">
        <w:rPr>
          <w:rFonts w:ascii="Times New Roman" w:hAnsi="Times New Roman" w:cs="Times New Roman"/>
          <w:sz w:val="24"/>
        </w:rPr>
        <w:t xml:space="preserve">Weißeno, G. (2012). Dimensionen der Politikkompetenz. In G. Weißeno (Hrsg.), </w:t>
      </w:r>
      <w:r w:rsidRPr="009659E5">
        <w:rPr>
          <w:rFonts w:ascii="Times New Roman" w:hAnsi="Times New Roman" w:cs="Times New Roman"/>
          <w:i/>
          <w:iCs/>
          <w:sz w:val="24"/>
        </w:rPr>
        <w:t xml:space="preserve">Politisch handeln: Modelle, Möglichkeiten, Kompetenzen </w:t>
      </w:r>
      <w:r w:rsidRPr="009659E5">
        <w:rPr>
          <w:rFonts w:ascii="Times New Roman" w:hAnsi="Times New Roman" w:cs="Times New Roman"/>
          <w:sz w:val="24"/>
        </w:rPr>
        <w:t>(S. 156–177). Bundeszentrale für Politische Bildung.</w:t>
      </w:r>
    </w:p>
    <w:p w14:paraId="0982DAEB" w14:textId="77777777" w:rsidR="00855F3F" w:rsidRPr="001A6DDE" w:rsidRDefault="00855F3F" w:rsidP="00855F3F"/>
    <w:p w14:paraId="22F26F2A" w14:textId="77777777" w:rsidR="00F858DF" w:rsidRPr="00855F3F" w:rsidRDefault="00F858DF" w:rsidP="00855F3F"/>
    <w:sectPr w:rsidR="00F858DF" w:rsidRPr="00855F3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83D1F" w14:textId="77777777" w:rsidR="00845FFD" w:rsidRDefault="00845FFD" w:rsidP="000757EA">
      <w:pPr>
        <w:spacing w:after="0" w:line="240" w:lineRule="auto"/>
      </w:pPr>
      <w:r>
        <w:separator/>
      </w:r>
    </w:p>
  </w:endnote>
  <w:endnote w:type="continuationSeparator" w:id="0">
    <w:p w14:paraId="5136EAA0" w14:textId="77777777" w:rsidR="00845FFD" w:rsidRDefault="00845FFD"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D001" w14:textId="77777777" w:rsidR="005D419C" w:rsidRDefault="005D41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7CA7F" w14:textId="4F6D3C86" w:rsidR="005D419C" w:rsidRDefault="00314581">
    <w:pPr>
      <w:pStyle w:val="Fuzeile"/>
    </w:pPr>
    <w:r w:rsidRPr="00314581">
      <w:rPr>
        <w:noProof/>
      </w:rPr>
      <mc:AlternateContent>
        <mc:Choice Requires="wps">
          <w:drawing>
            <wp:anchor distT="0" distB="0" distL="114300" distR="114300" simplePos="0" relativeHeight="251668480" behindDoc="0" locked="0" layoutInCell="1" allowOverlap="1" wp14:anchorId="3C6DDD42" wp14:editId="669BBB6A">
              <wp:simplePos x="0" y="0"/>
              <wp:positionH relativeFrom="column">
                <wp:posOffset>4383300</wp:posOffset>
              </wp:positionH>
              <wp:positionV relativeFrom="paragraph">
                <wp:posOffset>32413</wp:posOffset>
              </wp:positionV>
              <wp:extent cx="1371021" cy="486968"/>
              <wp:effectExtent l="0" t="0" r="0" b="0"/>
              <wp:wrapNone/>
              <wp:docPr id="18" name="Textfeld 17">
                <a:extLst xmlns:a="http://schemas.openxmlformats.org/drawingml/2006/main">
                  <a:ext uri="{FF2B5EF4-FFF2-40B4-BE49-F238E27FC236}">
                    <a16:creationId xmlns:a16="http://schemas.microsoft.com/office/drawing/2014/main" id="{2A3C5C53-24D1-4847-85EA-892D052E51A6}"/>
                  </a:ext>
                </a:extLst>
              </wp:docPr>
              <wp:cNvGraphicFramePr/>
              <a:graphic xmlns:a="http://schemas.openxmlformats.org/drawingml/2006/main">
                <a:graphicData uri="http://schemas.microsoft.com/office/word/2010/wordprocessingShape">
                  <wps:wsp>
                    <wps:cNvSpPr txBox="1"/>
                    <wps:spPr>
                      <a:xfrm>
                        <a:off x="0" y="0"/>
                        <a:ext cx="1371021" cy="486968"/>
                      </a:xfrm>
                      <a:prstGeom prst="rect">
                        <a:avLst/>
                      </a:prstGeom>
                      <a:noFill/>
                    </wps:spPr>
                    <wps:txb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C6DDD42" id="_x0000_t202" coordsize="21600,21600" o:spt="202" path="m,l,21600r21600,l21600,xe">
              <v:stroke joinstyle="miter"/>
              <v:path gradientshapeok="t" o:connecttype="rect"/>
            </v:shapetype>
            <v:shape id="Textfeld 17" o:spid="_x0000_s1027" type="#_x0000_t202" style="position:absolute;margin-left:345.15pt;margin-top:2.55pt;width:107.95pt;height:3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" filled="f" stroked="f">
              <v:textbo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Disclaimer: This project has been funded with support from the European Commission. This communication reflects the views only of the author, and the Commission cannot be held responsible for any use which may be made of the information contained therein.</w:t>
                    </w:r>
                  </w:p>
                </w:txbxContent>
              </v:textbox>
            </v:shape>
          </w:pict>
        </mc:Fallback>
      </mc:AlternateContent>
    </w:r>
    <w:r w:rsidRPr="00314581">
      <w:rPr>
        <w:noProof/>
      </w:rPr>
      <w:drawing>
        <wp:anchor distT="0" distB="0" distL="114300" distR="114300" simplePos="0" relativeHeight="251671552" behindDoc="1" locked="0" layoutInCell="1" allowOverlap="1" wp14:anchorId="3138A71A" wp14:editId="025F0CAE">
          <wp:simplePos x="0" y="0"/>
          <wp:positionH relativeFrom="margin">
            <wp:align>center</wp:align>
          </wp:positionH>
          <wp:positionV relativeFrom="paragraph">
            <wp:posOffset>177487</wp:posOffset>
          </wp:positionV>
          <wp:extent cx="768350" cy="266065"/>
          <wp:effectExtent l="0" t="0" r="0" b="635"/>
          <wp:wrapTight wrapText="bothSides">
            <wp:wrapPolygon edited="0">
              <wp:start x="0" y="0"/>
              <wp:lineTo x="0" y="20105"/>
              <wp:lineTo x="20886" y="20105"/>
              <wp:lineTo x="20886"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266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6B0F615F" wp14:editId="03A57D46">
          <wp:simplePos x="0" y="0"/>
          <wp:positionH relativeFrom="margin">
            <wp:align>left</wp:align>
          </wp:positionH>
          <wp:positionV relativeFrom="paragraph">
            <wp:posOffset>63073</wp:posOffset>
          </wp:positionV>
          <wp:extent cx="1775480" cy="395785"/>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5480" cy="39578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7BD1" w14:textId="77777777" w:rsidR="005D419C" w:rsidRDefault="005D41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56DE5" w14:textId="77777777" w:rsidR="00845FFD" w:rsidRDefault="00845FFD" w:rsidP="000757EA">
      <w:pPr>
        <w:spacing w:after="0" w:line="240" w:lineRule="auto"/>
      </w:pPr>
      <w:r>
        <w:separator/>
      </w:r>
    </w:p>
  </w:footnote>
  <w:footnote w:type="continuationSeparator" w:id="0">
    <w:p w14:paraId="5168DA42" w14:textId="77777777" w:rsidR="00845FFD" w:rsidRDefault="00845FFD" w:rsidP="0007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AF1E" w14:textId="77777777" w:rsidR="005D419C" w:rsidRDefault="005D41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0AAB" w14:textId="23592DD8" w:rsidR="000757EA" w:rsidRDefault="00314581" w:rsidP="000757EA">
    <w:pPr>
      <w:pStyle w:val="Kopfzeile"/>
    </w:pPr>
    <w:r>
      <w:rPr>
        <w:noProof/>
        <w:lang w:eastAsia="de-DE"/>
      </w:rPr>
      <w:drawing>
        <wp:anchor distT="0" distB="0" distL="114300" distR="114300" simplePos="0" relativeHeight="251661312" behindDoc="1" locked="0" layoutInCell="1" allowOverlap="1" wp14:anchorId="7E6FBAFF" wp14:editId="2F406D6B">
          <wp:simplePos x="0" y="0"/>
          <wp:positionH relativeFrom="margin">
            <wp:align>left</wp:align>
          </wp:positionH>
          <wp:positionV relativeFrom="paragraph">
            <wp:posOffset>-391160</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Pr="00314581">
      <w:rPr>
        <w:noProof/>
      </w:rPr>
      <w:drawing>
        <wp:anchor distT="0" distB="0" distL="114300" distR="114300" simplePos="0" relativeHeight="251669504" behindDoc="1" locked="0" layoutInCell="1" allowOverlap="1" wp14:anchorId="16F234BA" wp14:editId="403F1614">
          <wp:simplePos x="0" y="0"/>
          <wp:positionH relativeFrom="margin">
            <wp:align>right</wp:align>
          </wp:positionH>
          <wp:positionV relativeFrom="paragraph">
            <wp:posOffset>-222288</wp:posOffset>
          </wp:positionV>
          <wp:extent cx="1199515" cy="334645"/>
          <wp:effectExtent l="0" t="0" r="635" b="8255"/>
          <wp:wrapTight wrapText="bothSides">
            <wp:wrapPolygon edited="0">
              <wp:start x="6518" y="0"/>
              <wp:lineTo x="1029" y="15985"/>
              <wp:lineTo x="1372" y="20903"/>
              <wp:lineTo x="17152" y="20903"/>
              <wp:lineTo x="21268" y="19674"/>
              <wp:lineTo x="21268" y="2459"/>
              <wp:lineTo x="9262" y="0"/>
              <wp:lineTo x="6518" y="0"/>
            </wp:wrapPolygon>
          </wp:wrapTight>
          <wp:docPr id="7"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199515" cy="334645"/>
                  </a:xfrm>
                  <a:prstGeom prst="rect">
                    <a:avLst/>
                  </a:prstGeom>
                </pic:spPr>
              </pic:pic>
            </a:graphicData>
          </a:graphic>
          <wp14:sizeRelV relativeFrom="margin">
            <wp14:pctHeight>0</wp14:pctHeight>
          </wp14:sizeRelV>
        </wp:anchor>
      </w:drawing>
    </w:r>
    <w:r w:rsidRPr="00314581">
      <w:rPr>
        <w:noProof/>
      </w:rPr>
      <w:drawing>
        <wp:anchor distT="0" distB="0" distL="114300" distR="114300" simplePos="0" relativeHeight="251666432" behindDoc="0" locked="0" layoutInCell="1" allowOverlap="1" wp14:anchorId="20A947D1" wp14:editId="6E00C4EF">
          <wp:simplePos x="0" y="0"/>
          <wp:positionH relativeFrom="column">
            <wp:posOffset>10212495</wp:posOffset>
          </wp:positionH>
          <wp:positionV relativeFrom="paragraph">
            <wp:posOffset>-1078146</wp:posOffset>
          </wp:positionV>
          <wp:extent cx="1654028" cy="434264"/>
          <wp:effectExtent l="0" t="0" r="3810" b="4445"/>
          <wp:wrapNone/>
          <wp:docPr id="12"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654028" cy="434264"/>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210CF84D" wp14:editId="3F16DC23">
              <wp:simplePos x="0" y="0"/>
              <wp:positionH relativeFrom="margin">
                <wp:posOffset>1521746</wp:posOffset>
              </wp:positionH>
              <wp:positionV relativeFrom="paragraph">
                <wp:posOffset>-223206</wp:posOffset>
              </wp:positionV>
              <wp:extent cx="1246595" cy="318337"/>
              <wp:effectExtent l="0" t="0" r="0" b="571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95" cy="318337"/>
                      </a:xfrm>
                      <a:prstGeom prst="rect">
                        <a:avLst/>
                      </a:prstGeom>
                      <a:noFill/>
                      <a:ln w="9525">
                        <a:noFill/>
                        <a:miter lim="800000"/>
                        <a:headEnd/>
                        <a:tailEnd/>
                      </a:ln>
                    </wps:spPr>
                    <wps:txb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0CF84D" id="_x0000_t202" coordsize="21600,21600" o:spt="202" path="m,l,21600r21600,l21600,xe">
              <v:stroke joinstyle="miter"/>
              <v:path gradientshapeok="t" o:connecttype="rect"/>
            </v:shapetype>
            <v:shape id="Textfeld 2" o:spid="_x0000_s1026" type="#_x0000_t202" style="position:absolute;margin-left:119.8pt;margin-top:-17.6pt;width:98.1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" filled="f" stroked="f">
              <v:textbo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v:textbox>
              <w10:wrap anchorx="margin"/>
            </v:shape>
          </w:pict>
        </mc:Fallback>
      </mc:AlternateContent>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5800CFB3" wp14:editId="4080F91C">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7D318"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p>
  <w:p w14:paraId="0000FC58" w14:textId="268E0B34" w:rsidR="000757EA" w:rsidRDefault="000757E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CC0A" w14:textId="77777777" w:rsidR="005D419C" w:rsidRDefault="005D41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A10263"/>
    <w:multiLevelType w:val="hybridMultilevel"/>
    <w:tmpl w:val="6F6C1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0F2"/>
    <w:rsid w:val="000757EA"/>
    <w:rsid w:val="000F50F2"/>
    <w:rsid w:val="00314581"/>
    <w:rsid w:val="00360917"/>
    <w:rsid w:val="003B33EB"/>
    <w:rsid w:val="003B364D"/>
    <w:rsid w:val="004264A1"/>
    <w:rsid w:val="00441C36"/>
    <w:rsid w:val="004E6AFA"/>
    <w:rsid w:val="0052434E"/>
    <w:rsid w:val="00546EE4"/>
    <w:rsid w:val="005D419C"/>
    <w:rsid w:val="00604DCA"/>
    <w:rsid w:val="0082714A"/>
    <w:rsid w:val="00845FFD"/>
    <w:rsid w:val="00846233"/>
    <w:rsid w:val="00855F3F"/>
    <w:rsid w:val="008A2A61"/>
    <w:rsid w:val="009B0444"/>
    <w:rsid w:val="00A13C1B"/>
    <w:rsid w:val="00AC0C25"/>
    <w:rsid w:val="00B47A65"/>
    <w:rsid w:val="00CB200C"/>
    <w:rsid w:val="00E33FD4"/>
    <w:rsid w:val="00EF6187"/>
    <w:rsid w:val="00F8171C"/>
    <w:rsid w:val="00F858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6F1D6"/>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8A2A61"/>
    <w:rPr>
      <w:sz w:val="16"/>
      <w:szCs w:val="16"/>
    </w:rPr>
  </w:style>
  <w:style w:type="paragraph" w:styleId="Kommentartext">
    <w:name w:val="annotation text"/>
    <w:basedOn w:val="Standard"/>
    <w:link w:val="KommentartextZchn"/>
    <w:uiPriority w:val="99"/>
    <w:unhideWhenUsed/>
    <w:rsid w:val="008A2A61"/>
    <w:pPr>
      <w:spacing w:line="240" w:lineRule="auto"/>
    </w:pPr>
    <w:rPr>
      <w:sz w:val="20"/>
      <w:szCs w:val="20"/>
    </w:rPr>
  </w:style>
  <w:style w:type="character" w:customStyle="1" w:styleId="KommentartextZchn">
    <w:name w:val="Kommentartext Zchn"/>
    <w:basedOn w:val="Absatz-Standardschriftart"/>
    <w:link w:val="Kommentartext"/>
    <w:uiPriority w:val="99"/>
    <w:rsid w:val="008A2A61"/>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8A2A61"/>
    <w:rPr>
      <w:b/>
      <w:bCs/>
    </w:rPr>
  </w:style>
  <w:style w:type="character" w:customStyle="1" w:styleId="KommentarthemaZchn">
    <w:name w:val="Kommentarthema Zchn"/>
    <w:basedOn w:val="KommentartextZchn"/>
    <w:link w:val="Kommentarthema"/>
    <w:uiPriority w:val="99"/>
    <w:semiHidden/>
    <w:rsid w:val="008A2A61"/>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8A2A6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2A61"/>
    <w:rPr>
      <w:rFonts w:ascii="Segoe UI" w:hAnsi="Segoe UI" w:cs="Segoe UI"/>
      <w:sz w:val="18"/>
      <w:szCs w:val="18"/>
    </w:rPr>
  </w:style>
  <w:style w:type="character" w:styleId="Hyperlink">
    <w:name w:val="Hyperlink"/>
    <w:basedOn w:val="Absatz-Standardschriftart"/>
    <w:uiPriority w:val="99"/>
    <w:unhideWhenUsed/>
    <w:rsid w:val="00F858DF"/>
    <w:rPr>
      <w:color w:val="0563C1" w:themeColor="hyperlink"/>
      <w:u w:val="single"/>
    </w:rPr>
  </w:style>
  <w:style w:type="paragraph" w:customStyle="1" w:styleId="CitaviLiteraturverzeichnis">
    <w:name w:val="Citavi Literaturverzeichnis"/>
    <w:basedOn w:val="Standard"/>
    <w:rsid w:val="009B0444"/>
    <w:pPr>
      <w:spacing w:after="0" w:line="259" w:lineRule="auto"/>
      <w:ind w:left="720" w:hanging="720"/>
    </w:pPr>
    <w:rPr>
      <w:rFonts w:ascii="Calibri" w:eastAsia="Times New Roman" w:hAnsi="Calibri" w:cs="Calibr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835</Words>
  <Characters>5261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 Vajen</cp:lastModifiedBy>
  <cp:revision>16</cp:revision>
  <cp:lastPrinted>2023-10-15T15:34:00Z</cp:lastPrinted>
  <dcterms:created xsi:type="dcterms:W3CDTF">2022-02-01T10:55:00Z</dcterms:created>
  <dcterms:modified xsi:type="dcterms:W3CDTF">2023-10-17T13:08:00Z</dcterms:modified>
</cp:coreProperties>
</file>